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themeColor="background1"/>
  <w:body>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hemeFill="background1"/>
        <w:kinsoku/>
        <w:wordWrap w:val="0"/>
        <w:overflowPunct/>
        <w:topLinePunct w:val="0"/>
        <w:autoSpaceDE/>
        <w:autoSpaceDN/>
        <w:bidi w:val="0"/>
        <w:adjustRightInd/>
        <w:snapToGrid/>
        <w:spacing w:before="0" w:beforeAutospacing="0" w:after="0" w:afterAutospacing="0" w:line="560" w:lineRule="exact"/>
        <w:ind w:left="0" w:right="0" w:firstLine="0"/>
        <w:jc w:val="center"/>
        <w:textAlignment w:val="auto"/>
        <w:rPr>
          <w:rStyle w:val="8"/>
          <w:rFonts w:hint="eastAsia" w:ascii="方正小标宋简体" w:hAnsi="方正小标宋简体" w:eastAsia="方正小标宋简体" w:cs="方正小标宋简体"/>
          <w:b w:val="0"/>
          <w:bCs/>
          <w:i w:val="0"/>
          <w:iCs w:val="0"/>
          <w:caps w:val="0"/>
          <w:color w:val="000000"/>
          <w:spacing w:val="0"/>
          <w:kern w:val="0"/>
          <w:sz w:val="44"/>
          <w:szCs w:val="44"/>
          <w:shd w:val="clear" w:fill="FFFFFF"/>
          <w:lang w:val="en-US" w:eastAsia="zh-CN" w:bidi="ar"/>
        </w:rPr>
      </w:pPr>
      <w:r>
        <w:rPr>
          <w:rStyle w:val="8"/>
          <w:rFonts w:hint="eastAsia" w:ascii="方正小标宋简体" w:hAnsi="方正小标宋简体" w:eastAsia="方正小标宋简体" w:cs="方正小标宋简体"/>
          <w:b w:val="0"/>
          <w:bCs/>
          <w:i w:val="0"/>
          <w:iCs w:val="0"/>
          <w:caps w:val="0"/>
          <w:color w:val="000000"/>
          <w:spacing w:val="0"/>
          <w:kern w:val="0"/>
          <w:sz w:val="44"/>
          <w:szCs w:val="44"/>
          <w:shd w:val="clear" w:fill="FFFFFF"/>
          <w:lang w:val="en-US" w:eastAsia="zh-CN" w:bidi="ar"/>
        </w:rPr>
        <w:t>台上镇2022年政府信息公开工作年度报告</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hemeFill="background1"/>
        <w:kinsoku/>
        <w:wordWrap w:val="0"/>
        <w:overflowPunct/>
        <w:topLinePunct w:val="0"/>
        <w:autoSpaceDE/>
        <w:autoSpaceDN/>
        <w:bidi w:val="0"/>
        <w:adjustRightInd/>
        <w:snapToGrid/>
        <w:spacing w:before="0" w:beforeAutospacing="0" w:after="0" w:afterAutospacing="0" w:line="560" w:lineRule="exact"/>
        <w:ind w:left="0" w:right="0" w:firstLine="0"/>
        <w:jc w:val="left"/>
        <w:textAlignment w:val="auto"/>
        <w:rPr>
          <w:rStyle w:val="8"/>
          <w:rFonts w:hint="eastAsia" w:ascii="宋体" w:hAnsi="宋体" w:eastAsia="宋体" w:cs="宋体"/>
          <w:i w:val="0"/>
          <w:iCs w:val="0"/>
          <w:caps w:val="0"/>
          <w:color w:val="000000"/>
          <w:spacing w:val="0"/>
          <w:kern w:val="0"/>
          <w:sz w:val="24"/>
          <w:szCs w:val="24"/>
          <w:shd w:val="clear" w:fill="FFFFFF"/>
          <w:lang w:val="en-US" w:eastAsia="zh-CN" w:bidi="ar"/>
        </w:rPr>
      </w:pPr>
    </w:p>
    <w:p>
      <w:pPr>
        <w:keepNext w:val="0"/>
        <w:keepLines w:val="0"/>
        <w:pageBreakBefore w:val="0"/>
        <w:widowControl w:val="0"/>
        <w:kinsoku/>
        <w:wordWrap/>
        <w:overflowPunct/>
        <w:topLinePunct w:val="0"/>
        <w:autoSpaceDE/>
        <w:autoSpaceDN/>
        <w:bidi w:val="0"/>
        <w:adjustRightInd/>
        <w:snapToGrid/>
        <w:spacing w:line="576" w:lineRule="exact"/>
        <w:ind w:firstLine="480" w:firstLineChars="200"/>
        <w:textAlignment w:val="auto"/>
        <w:rPr>
          <w:rFonts w:ascii="宋体" w:hAnsi="宋体" w:eastAsia="宋体" w:cs="宋体"/>
          <w:sz w:val="24"/>
          <w:szCs w:val="24"/>
        </w:rPr>
      </w:pPr>
      <w:r>
        <w:rPr>
          <w:rFonts w:hint="eastAsia" w:ascii="宋体" w:hAnsi="宋体" w:eastAsia="宋体" w:cs="宋体"/>
          <w:i w:val="0"/>
          <w:iCs w:val="0"/>
          <w:caps w:val="0"/>
          <w:color w:val="000000"/>
          <w:spacing w:val="0"/>
          <w:kern w:val="0"/>
          <w:sz w:val="24"/>
          <w:szCs w:val="24"/>
          <w:shd w:val="clear" w:fill="FFFFFF"/>
          <w:lang w:val="en-US" w:eastAsia="zh-CN" w:bidi="ar"/>
        </w:rPr>
        <w:t>　 </w:t>
      </w:r>
      <w:r>
        <w:rPr>
          <w:rFonts w:hint="eastAsia" w:ascii="宋体" w:hAnsi="宋体" w:eastAsia="宋体" w:cs="宋体"/>
          <w:sz w:val="24"/>
          <w:szCs w:val="24"/>
        </w:rPr>
        <w:t>根据《中华人民共和国政府信息公开条例》规定，现公布台上镇20</w:t>
      </w:r>
      <w:r>
        <w:rPr>
          <w:rFonts w:hint="eastAsia" w:ascii="宋体" w:hAnsi="宋体" w:eastAsia="宋体" w:cs="宋体"/>
          <w:sz w:val="24"/>
          <w:szCs w:val="24"/>
          <w:lang w:val="en-US" w:eastAsia="zh-CN"/>
        </w:rPr>
        <w:t>22</w:t>
      </w:r>
      <w:r>
        <w:rPr>
          <w:rFonts w:hint="eastAsia" w:ascii="宋体" w:hAnsi="宋体" w:eastAsia="宋体" w:cs="宋体"/>
          <w:sz w:val="24"/>
          <w:szCs w:val="24"/>
        </w:rPr>
        <w:t>年政务公开工作情况。</w:t>
      </w:r>
    </w:p>
    <w:p>
      <w:pPr>
        <w:numPr>
          <w:ilvl w:val="0"/>
          <w:numId w:val="1"/>
        </w:numPr>
        <w:spacing w:line="576" w:lineRule="exact"/>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总体情况</w:t>
      </w:r>
    </w:p>
    <w:p>
      <w:pPr>
        <w:spacing w:line="576"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rPr>
        <w:t>为加强对政府信息公开工作的领导，</w:t>
      </w:r>
      <w:r>
        <w:rPr>
          <w:rFonts w:hint="eastAsia" w:ascii="宋体" w:hAnsi="宋体" w:eastAsia="宋体" w:cs="宋体"/>
          <w:sz w:val="24"/>
          <w:szCs w:val="24"/>
          <w:lang w:eastAsia="zh-CN"/>
        </w:rPr>
        <w:t>台上镇</w:t>
      </w:r>
      <w:r>
        <w:rPr>
          <w:rFonts w:hint="eastAsia" w:ascii="宋体" w:hAnsi="宋体" w:eastAsia="宋体" w:cs="宋体"/>
          <w:sz w:val="24"/>
          <w:szCs w:val="24"/>
        </w:rPr>
        <w:t>成立了由</w:t>
      </w:r>
      <w:r>
        <w:rPr>
          <w:rFonts w:hint="eastAsia" w:ascii="宋体" w:hAnsi="宋体" w:eastAsia="宋体" w:cs="宋体"/>
          <w:sz w:val="24"/>
          <w:szCs w:val="24"/>
          <w:lang w:eastAsia="zh-CN"/>
        </w:rPr>
        <w:t>镇长为</w:t>
      </w:r>
      <w:r>
        <w:rPr>
          <w:rFonts w:hint="eastAsia" w:ascii="宋体" w:hAnsi="宋体" w:eastAsia="宋体" w:cs="宋体"/>
          <w:sz w:val="24"/>
          <w:szCs w:val="24"/>
        </w:rPr>
        <w:t>组长，</w:t>
      </w:r>
      <w:r>
        <w:rPr>
          <w:rFonts w:hint="eastAsia" w:ascii="宋体" w:hAnsi="宋体" w:eastAsia="宋体" w:cs="宋体"/>
          <w:sz w:val="24"/>
          <w:szCs w:val="24"/>
          <w:lang w:eastAsia="zh-CN"/>
        </w:rPr>
        <w:t>副镇长为</w:t>
      </w:r>
      <w:r>
        <w:rPr>
          <w:rFonts w:hint="eastAsia" w:ascii="宋体" w:hAnsi="宋体" w:eastAsia="宋体" w:cs="宋体"/>
          <w:sz w:val="24"/>
          <w:szCs w:val="24"/>
        </w:rPr>
        <w:t>副组长，相关工作人员为成员的信息公开工作领导小组，切实履行</w:t>
      </w:r>
      <w:r>
        <w:rPr>
          <w:rFonts w:hint="eastAsia" w:ascii="宋体" w:hAnsi="宋体" w:eastAsia="宋体" w:cs="宋体"/>
          <w:sz w:val="24"/>
          <w:szCs w:val="24"/>
          <w:lang w:eastAsia="zh-CN"/>
        </w:rPr>
        <w:t>台上镇</w:t>
      </w:r>
      <w:r>
        <w:rPr>
          <w:rFonts w:hint="eastAsia" w:ascii="宋体" w:hAnsi="宋体" w:eastAsia="宋体" w:cs="宋体"/>
          <w:sz w:val="24"/>
          <w:szCs w:val="24"/>
        </w:rPr>
        <w:t>政府信息公开的指导协调和督促检查职责。</w:t>
      </w:r>
      <w:r>
        <w:rPr>
          <w:rFonts w:hint="eastAsia" w:ascii="宋体" w:hAnsi="宋体" w:eastAsia="宋体" w:cs="宋体"/>
          <w:sz w:val="24"/>
          <w:szCs w:val="24"/>
          <w:lang w:eastAsia="zh-CN"/>
        </w:rPr>
        <w:t>具体如下：</w:t>
      </w:r>
    </w:p>
    <w:p>
      <w:pPr>
        <w:spacing w:line="576" w:lineRule="exact"/>
        <w:ind w:firstLine="480" w:firstLineChars="200"/>
        <w:rPr>
          <w:rFonts w:ascii="宋体" w:hAnsi="宋体" w:eastAsia="宋体" w:cs="宋体"/>
          <w:sz w:val="24"/>
          <w:szCs w:val="24"/>
        </w:rPr>
      </w:pPr>
      <w:r>
        <w:rPr>
          <w:rFonts w:hint="eastAsia" w:ascii="楷体" w:hAnsi="楷体" w:eastAsia="楷体" w:cs="楷体"/>
          <w:sz w:val="24"/>
          <w:szCs w:val="24"/>
        </w:rPr>
        <w:t>（一）组织推动。</w:t>
      </w:r>
      <w:r>
        <w:rPr>
          <w:rFonts w:hint="eastAsia" w:ascii="宋体" w:hAnsi="宋体" w:eastAsia="宋体" w:cs="宋体"/>
          <w:sz w:val="24"/>
          <w:szCs w:val="24"/>
        </w:rPr>
        <w:t>20</w:t>
      </w:r>
      <w:r>
        <w:rPr>
          <w:rFonts w:hint="eastAsia" w:ascii="宋体" w:hAnsi="宋体" w:eastAsia="宋体" w:cs="宋体"/>
          <w:sz w:val="24"/>
          <w:szCs w:val="24"/>
          <w:lang w:val="en-US" w:eastAsia="zh-CN"/>
        </w:rPr>
        <w:t>22</w:t>
      </w:r>
      <w:r>
        <w:rPr>
          <w:rFonts w:hint="eastAsia" w:ascii="宋体" w:hAnsi="宋体" w:eastAsia="宋体" w:cs="宋体"/>
          <w:sz w:val="24"/>
          <w:szCs w:val="24"/>
        </w:rPr>
        <w:t>年，台上镇人民政府严格按照市委、市政府部署要求，认真学习贯彻《中华人民共和国政府信息公开条例》</w:t>
      </w:r>
      <w:r>
        <w:rPr>
          <w:rFonts w:hint="eastAsia" w:ascii="宋体" w:hAnsi="宋体" w:eastAsia="宋体" w:cs="宋体"/>
          <w:sz w:val="24"/>
          <w:szCs w:val="24"/>
          <w:lang w:eastAsia="zh-CN"/>
        </w:rPr>
        <w:t>和</w:t>
      </w:r>
      <w:r>
        <w:rPr>
          <w:rFonts w:hint="eastAsia" w:ascii="宋体" w:hAnsi="宋体" w:eastAsia="宋体" w:cs="宋体"/>
          <w:sz w:val="24"/>
          <w:szCs w:val="24"/>
        </w:rPr>
        <w:t>市政府政务信息公开工作要点要求,积极推进行政决策、执行、管理、服务、结果公开，不断提升信息公开水平，有效保障人民群众的知情权和监督权，在依法行政、政务民生等方面起到了积极有力的推动作用。</w:t>
      </w:r>
      <w:r>
        <w:rPr>
          <w:rFonts w:hint="eastAsia" w:ascii="宋体" w:hAnsi="宋体" w:eastAsia="宋体" w:cs="宋体"/>
          <w:sz w:val="24"/>
          <w:szCs w:val="24"/>
          <w:lang w:eastAsia="zh-CN"/>
        </w:rPr>
        <w:t>并</w:t>
      </w:r>
      <w:r>
        <w:rPr>
          <w:rFonts w:hint="eastAsia" w:ascii="宋体" w:hAnsi="宋体" w:eastAsia="宋体" w:cs="宋体"/>
          <w:sz w:val="24"/>
          <w:szCs w:val="24"/>
        </w:rPr>
        <w:t>圆满完成各项工作任务。</w:t>
      </w:r>
    </w:p>
    <w:p>
      <w:pPr>
        <w:spacing w:line="576" w:lineRule="exact"/>
        <w:ind w:firstLine="480" w:firstLineChars="200"/>
        <w:rPr>
          <w:rFonts w:hint="eastAsia" w:ascii="宋体" w:hAnsi="宋体" w:eastAsia="宋体" w:cs="宋体"/>
          <w:sz w:val="24"/>
          <w:szCs w:val="24"/>
        </w:rPr>
      </w:pPr>
      <w:r>
        <w:rPr>
          <w:rFonts w:hint="eastAsia" w:ascii="楷体" w:hAnsi="楷体" w:eastAsia="楷体" w:cs="楷体"/>
          <w:sz w:val="24"/>
          <w:szCs w:val="24"/>
        </w:rPr>
        <w:t>（二）主动公开。</w:t>
      </w:r>
      <w:r>
        <w:rPr>
          <w:rFonts w:hint="eastAsia" w:ascii="宋体" w:hAnsi="宋体" w:eastAsia="宋体" w:cs="宋体"/>
          <w:sz w:val="24"/>
          <w:szCs w:val="24"/>
          <w:lang w:val="en-US" w:eastAsia="zh-CN"/>
        </w:rPr>
        <w:t>为</w:t>
      </w:r>
      <w:r>
        <w:rPr>
          <w:rFonts w:hint="eastAsia" w:ascii="宋体" w:hAnsi="宋体" w:eastAsia="宋体" w:cs="宋体"/>
          <w:sz w:val="24"/>
          <w:szCs w:val="24"/>
        </w:rPr>
        <w:t>推进依法行政，切实保障群众的知情权、参与权、表达权和监督权，台上镇主动公开</w:t>
      </w:r>
      <w:r>
        <w:rPr>
          <w:rFonts w:hint="eastAsia" w:ascii="宋体" w:hAnsi="宋体" w:eastAsia="宋体" w:cs="宋体"/>
          <w:sz w:val="24"/>
          <w:szCs w:val="24"/>
          <w:lang w:eastAsia="zh-CN"/>
        </w:rPr>
        <w:t>政府</w:t>
      </w:r>
      <w:r>
        <w:rPr>
          <w:rFonts w:hint="eastAsia" w:ascii="宋体" w:hAnsi="宋体" w:eastAsia="宋体" w:cs="宋体"/>
          <w:sz w:val="24"/>
          <w:szCs w:val="24"/>
        </w:rPr>
        <w:t>信息，对于主动公开的信息，台上镇主要采用网上公开和办公楼设置公示栏等公开形式。台上镇网上公开的信息为以电子文档形式上传公开，可登录市政府官网，政务信息公开栏查看台上镇公开信息。</w:t>
      </w:r>
    </w:p>
    <w:p>
      <w:pPr>
        <w:spacing w:line="576" w:lineRule="exact"/>
        <w:ind w:firstLine="480" w:firstLineChars="200"/>
        <w:rPr>
          <w:rFonts w:hint="eastAsia" w:ascii="宋体" w:hAnsi="宋体" w:eastAsia="宋体" w:cs="宋体"/>
          <w:sz w:val="24"/>
          <w:szCs w:val="24"/>
        </w:rPr>
      </w:pPr>
      <w:r>
        <w:rPr>
          <w:rFonts w:hint="eastAsia" w:ascii="楷体" w:hAnsi="楷体" w:eastAsia="楷体" w:cs="楷体"/>
          <w:sz w:val="24"/>
          <w:szCs w:val="24"/>
        </w:rPr>
        <w:t>（三）认真规范。</w:t>
      </w:r>
      <w:r>
        <w:rPr>
          <w:rFonts w:hint="eastAsia" w:ascii="宋体" w:hAnsi="宋体" w:eastAsia="宋体" w:cs="宋体"/>
          <w:sz w:val="24"/>
          <w:szCs w:val="24"/>
        </w:rPr>
        <w:t>台上镇把政务公开工作纳入重要议事日程，召开多次专题会议</w:t>
      </w:r>
      <w:r>
        <w:rPr>
          <w:rFonts w:hint="eastAsia" w:ascii="宋体" w:hAnsi="宋体" w:eastAsia="宋体" w:cs="宋体"/>
          <w:sz w:val="24"/>
          <w:szCs w:val="24"/>
          <w:lang w:eastAsia="zh-CN"/>
        </w:rPr>
        <w:t>。</w:t>
      </w:r>
      <w:r>
        <w:rPr>
          <w:rFonts w:hint="eastAsia" w:ascii="宋体" w:hAnsi="宋体" w:eastAsia="宋体" w:cs="宋体"/>
          <w:sz w:val="24"/>
          <w:szCs w:val="24"/>
        </w:rPr>
        <w:t>针对申请公开的政府信息结合工作实际，具体问题具体分析，落实专人负责，全部申请均按期办理答复。截至20</w:t>
      </w:r>
      <w:r>
        <w:rPr>
          <w:rFonts w:hint="eastAsia" w:ascii="宋体" w:hAnsi="宋体" w:eastAsia="宋体" w:cs="宋体"/>
          <w:sz w:val="24"/>
          <w:szCs w:val="24"/>
          <w:lang w:val="en-US" w:eastAsia="zh-CN"/>
        </w:rPr>
        <w:t>22</w:t>
      </w:r>
      <w:r>
        <w:rPr>
          <w:rFonts w:hint="eastAsia" w:ascii="宋体" w:hAnsi="宋体" w:eastAsia="宋体" w:cs="宋体"/>
          <w:sz w:val="24"/>
          <w:szCs w:val="24"/>
        </w:rPr>
        <w:t>年12月</w:t>
      </w:r>
      <w:r>
        <w:rPr>
          <w:rFonts w:hint="eastAsia" w:ascii="宋体" w:hAnsi="宋体" w:eastAsia="宋体" w:cs="宋体"/>
          <w:sz w:val="24"/>
          <w:szCs w:val="24"/>
          <w:lang w:eastAsia="zh-CN"/>
        </w:rPr>
        <w:t>，</w:t>
      </w:r>
      <w:r>
        <w:rPr>
          <w:rFonts w:hint="eastAsia" w:ascii="宋体" w:hAnsi="宋体" w:eastAsia="宋体" w:cs="宋体"/>
          <w:sz w:val="24"/>
          <w:szCs w:val="24"/>
        </w:rPr>
        <w:t>未收到和处理过公民、法人或其他组织提出公开政府信息的申请。</w:t>
      </w:r>
    </w:p>
    <w:p>
      <w:pPr>
        <w:spacing w:line="576" w:lineRule="exact"/>
        <w:ind w:firstLine="480" w:firstLineChars="200"/>
        <w:rPr>
          <w:rFonts w:hint="eastAsia" w:ascii="宋体" w:hAnsi="宋体" w:eastAsia="宋体" w:cs="宋体"/>
          <w:sz w:val="24"/>
          <w:szCs w:val="24"/>
        </w:rPr>
      </w:pPr>
      <w:r>
        <w:rPr>
          <w:rFonts w:hint="eastAsia" w:ascii="楷体" w:hAnsi="楷体" w:eastAsia="楷体" w:cs="楷体"/>
          <w:sz w:val="24"/>
          <w:szCs w:val="24"/>
        </w:rPr>
        <w:t>（四）强化内容。</w:t>
      </w:r>
      <w:r>
        <w:rPr>
          <w:rFonts w:hint="eastAsia" w:ascii="宋体" w:hAnsi="宋体" w:eastAsia="宋体" w:cs="宋体"/>
          <w:sz w:val="24"/>
          <w:szCs w:val="24"/>
        </w:rPr>
        <w:t>注重成效，持续深化依法公开事项</w:t>
      </w:r>
      <w:r>
        <w:rPr>
          <w:rFonts w:hint="eastAsia" w:ascii="宋体" w:hAnsi="宋体" w:eastAsia="宋体" w:cs="宋体"/>
          <w:sz w:val="24"/>
          <w:szCs w:val="24"/>
          <w:lang w:eastAsia="zh-CN"/>
        </w:rPr>
        <w:t>，</w:t>
      </w:r>
      <w:r>
        <w:rPr>
          <w:rFonts w:hint="eastAsia" w:ascii="宋体" w:hAnsi="宋体" w:eastAsia="宋体" w:cs="宋体"/>
          <w:sz w:val="24"/>
          <w:szCs w:val="24"/>
        </w:rPr>
        <w:t>在积极开展政府信息公开工作过程中，突出重点公开内容，创新发布形式，不断提高我局信息公开工作水平，公开内容主要以“重点工作、政府公开信息、政务服务”为重点，以“机构概况、财政信息、常规工作”等领域的信息为基础，做到及时公开。</w:t>
      </w:r>
    </w:p>
    <w:p>
      <w:pPr>
        <w:spacing w:line="576" w:lineRule="exact"/>
        <w:ind w:firstLine="480" w:firstLineChars="200"/>
        <w:rPr>
          <w:rFonts w:hint="eastAsia" w:ascii="宋体" w:hAnsi="宋体" w:eastAsia="宋体" w:cs="宋体"/>
          <w:sz w:val="24"/>
          <w:szCs w:val="24"/>
        </w:rPr>
      </w:pPr>
      <w:r>
        <w:rPr>
          <w:rFonts w:hint="eastAsia" w:ascii="楷体" w:hAnsi="楷体" w:eastAsia="楷体" w:cs="楷体"/>
          <w:sz w:val="24"/>
          <w:szCs w:val="24"/>
          <w:lang w:eastAsia="zh-CN"/>
        </w:rPr>
        <w:t>（五）</w:t>
      </w:r>
      <w:r>
        <w:rPr>
          <w:rFonts w:hint="eastAsia" w:ascii="楷体" w:hAnsi="楷体" w:eastAsia="楷体" w:cs="楷体"/>
          <w:sz w:val="24"/>
          <w:szCs w:val="24"/>
        </w:rPr>
        <w:t>完善制度</w:t>
      </w:r>
      <w:r>
        <w:rPr>
          <w:rFonts w:hint="eastAsia" w:ascii="楷体" w:hAnsi="楷体" w:eastAsia="楷体" w:cs="楷体"/>
          <w:sz w:val="24"/>
          <w:szCs w:val="24"/>
          <w:lang w:eastAsia="zh-CN"/>
        </w:rPr>
        <w:t>。</w:t>
      </w:r>
      <w:r>
        <w:rPr>
          <w:rFonts w:hint="eastAsia" w:ascii="宋体" w:hAnsi="宋体" w:eastAsia="宋体" w:cs="宋体"/>
          <w:sz w:val="24"/>
          <w:szCs w:val="24"/>
        </w:rPr>
        <w:t>结合实际，完善政府信息公开工作制度，对政府信息公开工作的职责分工及任务进一步明确细化。按照“公开为原则，不公开为例外”的总要求，对“主动公开、依申请公开和不公开”三类信息进行科学合理划分，对社会影响性大，有必要公开的文件，要及时公开，加大主动公开力度。继续规范信息发布程序，做到及时、准确、全面公开政府信息，对拟公开的信息，我局及时进行严格的保密审查，对政府信息安全事故责任追究有完整的长效机制。</w:t>
      </w:r>
    </w:p>
    <w:p>
      <w:pPr>
        <w:spacing w:line="576" w:lineRule="exact"/>
        <w:ind w:firstLine="480" w:firstLineChars="200"/>
        <w:rPr>
          <w:rFonts w:hint="eastAsia" w:ascii="宋体" w:hAnsi="宋体" w:eastAsia="宋体" w:cs="宋体"/>
          <w:sz w:val="24"/>
          <w:szCs w:val="24"/>
        </w:rPr>
      </w:pPr>
      <w:r>
        <w:rPr>
          <w:rFonts w:hint="eastAsia" w:ascii="楷体" w:hAnsi="楷体" w:eastAsia="楷体" w:cs="楷体"/>
          <w:sz w:val="24"/>
          <w:szCs w:val="24"/>
          <w:lang w:eastAsia="zh-CN"/>
        </w:rPr>
        <w:t>（六）强化监督。</w:t>
      </w:r>
      <w:r>
        <w:rPr>
          <w:rFonts w:hint="eastAsia" w:ascii="宋体" w:hAnsi="宋体" w:eastAsia="宋体" w:cs="宋体"/>
          <w:sz w:val="24"/>
          <w:szCs w:val="24"/>
        </w:rPr>
        <w:t>确保提高信息公开实效</w:t>
      </w:r>
      <w:r>
        <w:rPr>
          <w:rFonts w:hint="eastAsia" w:ascii="宋体" w:hAnsi="宋体" w:eastAsia="宋体" w:cs="宋体"/>
          <w:sz w:val="24"/>
          <w:szCs w:val="24"/>
          <w:lang w:eastAsia="zh-CN"/>
        </w:rPr>
        <w:t>，</w:t>
      </w:r>
      <w:r>
        <w:rPr>
          <w:rFonts w:hint="eastAsia" w:ascii="宋体" w:hAnsi="宋体" w:eastAsia="宋体" w:cs="宋体"/>
          <w:sz w:val="24"/>
          <w:szCs w:val="24"/>
        </w:rPr>
        <w:t>加强对信息公开工作的监督指导，督促检查信息公开工作，确保了此项工作依法有序进行。同时，我局将政府信息公开纳入日常工作目标管理，对公开信息的数量、内容、审查程序、时效性等进行专项自查，整改发现的问题，压实责任，不断提高政府信息公开工作的质量和水平。</w:t>
      </w:r>
    </w:p>
    <w:p>
      <w:pPr>
        <w:spacing w:line="576" w:lineRule="exact"/>
        <w:ind w:firstLine="480" w:firstLineChars="200"/>
        <w:rPr>
          <w:rFonts w:hint="eastAsia" w:ascii="宋体" w:hAnsi="宋体" w:eastAsia="宋体" w:cs="宋体"/>
          <w:sz w:val="24"/>
          <w:szCs w:val="24"/>
          <w:lang w:eastAsia="zh-CN"/>
        </w:rPr>
      </w:pPr>
      <w:r>
        <w:rPr>
          <w:rFonts w:hint="eastAsia" w:ascii="楷体" w:hAnsi="楷体" w:eastAsia="楷体" w:cs="楷体"/>
          <w:sz w:val="24"/>
          <w:szCs w:val="24"/>
          <w:lang w:eastAsia="zh-CN"/>
        </w:rPr>
        <w:t>（七）宣传培训</w:t>
      </w:r>
      <w:r>
        <w:rPr>
          <w:rFonts w:hint="eastAsia" w:ascii="楷体" w:hAnsi="楷体" w:eastAsia="楷体" w:cs="楷体"/>
          <w:sz w:val="24"/>
          <w:szCs w:val="24"/>
        </w:rPr>
        <w:t>。</w:t>
      </w:r>
      <w:r>
        <w:rPr>
          <w:rFonts w:hint="eastAsia" w:ascii="宋体" w:hAnsi="宋体" w:eastAsia="宋体" w:cs="宋体"/>
          <w:sz w:val="24"/>
          <w:szCs w:val="24"/>
        </w:rPr>
        <w:t>在现有制度的基础上，加强政务公开工作的宣传</w:t>
      </w:r>
      <w:r>
        <w:rPr>
          <w:rFonts w:hint="eastAsia" w:ascii="宋体" w:hAnsi="宋体" w:eastAsia="宋体" w:cs="宋体"/>
          <w:sz w:val="24"/>
          <w:szCs w:val="24"/>
          <w:lang w:eastAsia="zh-CN"/>
        </w:rPr>
        <w:t>力度</w:t>
      </w:r>
      <w:r>
        <w:rPr>
          <w:rFonts w:hint="eastAsia" w:ascii="宋体" w:hAnsi="宋体" w:eastAsia="宋体" w:cs="宋体"/>
          <w:sz w:val="24"/>
          <w:szCs w:val="24"/>
        </w:rPr>
        <w:t>，做好网站公众留言答复、信息发布等工作，实现信息公开的</w:t>
      </w:r>
      <w:r>
        <w:rPr>
          <w:rFonts w:hint="eastAsia" w:ascii="宋体" w:hAnsi="宋体" w:eastAsia="宋体" w:cs="宋体"/>
          <w:sz w:val="24"/>
          <w:szCs w:val="24"/>
          <w:lang w:eastAsia="zh-CN"/>
        </w:rPr>
        <w:t>常态化，制度化，规范化，并采取线上线下培训方式对现有的制度和操作细则流程进行全面讲解你，形成人人会，人人参与的政务模式。</w:t>
      </w:r>
    </w:p>
    <w:p>
      <w:pPr>
        <w:keepNext w:val="0"/>
        <w:keepLines w:val="0"/>
        <w:pageBreakBefore w:val="0"/>
        <w:kinsoku/>
        <w:overflowPunct/>
        <w:topLinePunct w:val="0"/>
        <w:autoSpaceDE/>
        <w:autoSpaceDN/>
        <w:bidi w:val="0"/>
        <w:adjustRightInd/>
        <w:snapToGrid/>
        <w:spacing w:line="560" w:lineRule="exact"/>
        <w:ind w:firstLine="480" w:firstLineChars="200"/>
        <w:textAlignment w:val="auto"/>
        <w:rPr>
          <w:rFonts w:ascii="宋体" w:hAnsi="宋体" w:eastAsia="宋体" w:cs="宋体"/>
          <w:i w:val="0"/>
          <w:iCs w:val="0"/>
          <w:caps w:val="0"/>
          <w:color w:val="000000"/>
          <w:spacing w:val="0"/>
          <w:sz w:val="24"/>
          <w:szCs w:val="24"/>
          <w:shd w:val="clear" w:fill="FFFFFF"/>
        </w:rPr>
      </w:pPr>
    </w:p>
    <w:p>
      <w:pPr>
        <w:keepNext w:val="0"/>
        <w:keepLines w:val="0"/>
        <w:pageBreakBefore w:val="0"/>
        <w:numPr>
          <w:ilvl w:val="0"/>
          <w:numId w:val="0"/>
        </w:numPr>
        <w:kinsoku/>
        <w:overflowPunct/>
        <w:topLinePunct w:val="0"/>
        <w:autoSpaceDE/>
        <w:autoSpaceDN/>
        <w:bidi w:val="0"/>
        <w:adjustRightInd/>
        <w:snapToGrid/>
        <w:spacing w:line="560" w:lineRule="exact"/>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lang w:eastAsia="zh-CN"/>
        </w:rPr>
        <w:t>二、</w:t>
      </w:r>
      <w:r>
        <w:rPr>
          <w:rFonts w:hint="eastAsia" w:ascii="宋体" w:hAnsi="宋体" w:eastAsia="宋体" w:cs="宋体"/>
          <w:b/>
          <w:bCs/>
          <w:sz w:val="24"/>
          <w:szCs w:val="24"/>
        </w:rPr>
        <w:t>主动公开政府信息情况</w:t>
      </w:r>
    </w:p>
    <w:p>
      <w:pPr>
        <w:numPr>
          <w:ilvl w:val="0"/>
          <w:numId w:val="0"/>
        </w:numPr>
        <w:rPr>
          <w:rFonts w:hint="eastAsia" w:ascii="宋体" w:hAnsi="宋体" w:eastAsia="宋体" w:cs="宋体"/>
          <w:b/>
          <w:bCs/>
          <w:sz w:val="24"/>
          <w:szCs w:val="24"/>
        </w:rPr>
      </w:pPr>
    </w:p>
    <w:tbl>
      <w:tblPr>
        <w:tblStyle w:val="6"/>
        <w:tblW w:w="9014" w:type="dxa"/>
        <w:jc w:val="center"/>
        <w:tblLayout w:type="fixed"/>
        <w:tblCellMar>
          <w:top w:w="0" w:type="dxa"/>
          <w:left w:w="0" w:type="dxa"/>
          <w:bottom w:w="0" w:type="dxa"/>
          <w:right w:w="0" w:type="dxa"/>
        </w:tblCellMar>
      </w:tblPr>
      <w:tblGrid>
        <w:gridCol w:w="2461"/>
        <w:gridCol w:w="2184"/>
        <w:gridCol w:w="2184"/>
        <w:gridCol w:w="2185"/>
      </w:tblGrid>
      <w:tr>
        <w:tblPrEx>
          <w:tblCellMar>
            <w:top w:w="0" w:type="dxa"/>
            <w:left w:w="0" w:type="dxa"/>
            <w:bottom w:w="0" w:type="dxa"/>
            <w:right w:w="0" w:type="dxa"/>
          </w:tblCellMar>
        </w:tblPrEx>
        <w:trPr>
          <w:trHeight w:val="495" w:hRule="atLeast"/>
          <w:jc w:val="center"/>
        </w:trPr>
        <w:tc>
          <w:tcPr>
            <w:tcW w:w="9014" w:type="dxa"/>
            <w:gridSpan w:val="4"/>
            <w:tcBorders>
              <w:top w:val="single" w:color="auto" w:sz="8" w:space="0"/>
              <w:left w:val="single" w:color="auto" w:sz="8" w:space="0"/>
              <w:bottom w:val="single" w:color="auto" w:sz="8" w:space="0"/>
              <w:right w:val="single" w:color="auto" w:sz="8" w:space="0"/>
            </w:tcBorders>
            <w:shd w:val="clear" w:color="auto" w:fill="C6D9F1"/>
            <w:noWrap/>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第二十条第（一）项</w:t>
            </w:r>
          </w:p>
        </w:tc>
      </w:tr>
      <w:tr>
        <w:tblPrEx>
          <w:tblCellMar>
            <w:top w:w="0" w:type="dxa"/>
            <w:left w:w="0" w:type="dxa"/>
            <w:bottom w:w="0" w:type="dxa"/>
            <w:right w:w="0" w:type="dxa"/>
          </w:tblCellMar>
        </w:tblPrEx>
        <w:trPr>
          <w:trHeight w:val="431" w:hRule="atLeast"/>
          <w:jc w:val="center"/>
        </w:trPr>
        <w:tc>
          <w:tcPr>
            <w:tcW w:w="2461"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信息内容</w:t>
            </w:r>
          </w:p>
        </w:tc>
        <w:tc>
          <w:tcPr>
            <w:tcW w:w="2184" w:type="dxa"/>
            <w:tcBorders>
              <w:top w:val="single" w:color="auto" w:sz="8" w:space="0"/>
              <w:left w:val="nil"/>
              <w:bottom w:val="single" w:color="auto" w:sz="8" w:space="0"/>
              <w:right w:val="single" w:color="auto" w:sz="8" w:space="0"/>
            </w:tcBorders>
            <w:noWrap/>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本年制发件数</w:t>
            </w:r>
          </w:p>
        </w:tc>
        <w:tc>
          <w:tcPr>
            <w:tcW w:w="218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本年废止件数</w:t>
            </w:r>
          </w:p>
        </w:tc>
        <w:tc>
          <w:tcPr>
            <w:tcW w:w="2185"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现行有效件数</w:t>
            </w:r>
          </w:p>
        </w:tc>
      </w:tr>
      <w:tr>
        <w:tblPrEx>
          <w:tblCellMar>
            <w:top w:w="0" w:type="dxa"/>
            <w:left w:w="0" w:type="dxa"/>
            <w:bottom w:w="0" w:type="dxa"/>
            <w:right w:w="0" w:type="dxa"/>
          </w:tblCellMar>
        </w:tblPrEx>
        <w:trPr>
          <w:trHeight w:val="431" w:hRule="atLeast"/>
          <w:jc w:val="center"/>
        </w:trPr>
        <w:tc>
          <w:tcPr>
            <w:tcW w:w="2461"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widowControl/>
              <w:jc w:val="left"/>
              <w:rPr>
                <w:rFonts w:ascii="宋体" w:hAnsi="宋体" w:eastAsia="宋体" w:cs="宋体"/>
                <w:kern w:val="0"/>
                <w:sz w:val="24"/>
                <w:szCs w:val="24"/>
              </w:rPr>
            </w:pPr>
            <w:r>
              <w:rPr>
                <w:rFonts w:hint="eastAsia" w:ascii="宋体" w:hAnsi="宋体" w:eastAsia="宋体" w:cs="宋体"/>
                <w:color w:val="000000"/>
                <w:kern w:val="0"/>
                <w:sz w:val="20"/>
                <w:szCs w:val="20"/>
              </w:rPr>
              <w:t>规章</w:t>
            </w:r>
          </w:p>
        </w:tc>
        <w:tc>
          <w:tcPr>
            <w:tcW w:w="2184"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218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2185"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r>
      <w:tr>
        <w:tblPrEx>
          <w:tblCellMar>
            <w:top w:w="0" w:type="dxa"/>
            <w:left w:w="0" w:type="dxa"/>
            <w:bottom w:w="0" w:type="dxa"/>
            <w:right w:w="0" w:type="dxa"/>
          </w:tblCellMar>
        </w:tblPrEx>
        <w:trPr>
          <w:trHeight w:val="471" w:hRule="atLeast"/>
          <w:jc w:val="center"/>
        </w:trPr>
        <w:tc>
          <w:tcPr>
            <w:tcW w:w="2461"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widowControl/>
              <w:jc w:val="left"/>
              <w:rPr>
                <w:rFonts w:ascii="宋体" w:hAnsi="宋体" w:eastAsia="宋体" w:cs="宋体"/>
                <w:kern w:val="0"/>
                <w:sz w:val="24"/>
                <w:szCs w:val="24"/>
              </w:rPr>
            </w:pPr>
            <w:r>
              <w:rPr>
                <w:rFonts w:hint="eastAsia" w:ascii="宋体" w:hAnsi="宋体" w:eastAsia="宋体" w:cs="宋体"/>
                <w:color w:val="000000"/>
                <w:kern w:val="0"/>
                <w:sz w:val="20"/>
                <w:szCs w:val="20"/>
              </w:rPr>
              <w:t>行政规范性文件</w:t>
            </w:r>
          </w:p>
        </w:tc>
        <w:tc>
          <w:tcPr>
            <w:tcW w:w="2184"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218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2185"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r>
      <w:tr>
        <w:tblPrEx>
          <w:tblCellMar>
            <w:top w:w="0" w:type="dxa"/>
            <w:left w:w="0" w:type="dxa"/>
            <w:bottom w:w="0" w:type="dxa"/>
            <w:right w:w="0" w:type="dxa"/>
          </w:tblCellMar>
        </w:tblPrEx>
        <w:trPr>
          <w:trHeight w:val="480" w:hRule="atLeast"/>
          <w:jc w:val="center"/>
        </w:trPr>
        <w:tc>
          <w:tcPr>
            <w:tcW w:w="9014" w:type="dxa"/>
            <w:gridSpan w:val="4"/>
            <w:tcBorders>
              <w:top w:val="nil"/>
              <w:left w:val="single" w:color="auto" w:sz="8" w:space="0"/>
              <w:bottom w:val="single" w:color="auto" w:sz="8" w:space="0"/>
              <w:right w:val="single" w:color="auto" w:sz="8" w:space="0"/>
            </w:tcBorders>
            <w:shd w:val="clear" w:color="auto" w:fill="C6D9F1"/>
            <w:noWrap/>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第二十条第（五）项</w:t>
            </w:r>
          </w:p>
        </w:tc>
      </w:tr>
      <w:tr>
        <w:tblPrEx>
          <w:tblCellMar>
            <w:top w:w="0" w:type="dxa"/>
            <w:left w:w="0" w:type="dxa"/>
            <w:bottom w:w="0" w:type="dxa"/>
            <w:right w:w="0" w:type="dxa"/>
          </w:tblCellMar>
        </w:tblPrEx>
        <w:trPr>
          <w:trHeight w:val="431" w:hRule="atLeast"/>
          <w:jc w:val="center"/>
        </w:trPr>
        <w:tc>
          <w:tcPr>
            <w:tcW w:w="2461"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信息内容</w:t>
            </w:r>
          </w:p>
        </w:tc>
        <w:tc>
          <w:tcPr>
            <w:tcW w:w="6553" w:type="dxa"/>
            <w:gridSpan w:val="3"/>
            <w:tcBorders>
              <w:top w:val="single" w:color="auto" w:sz="8" w:space="0"/>
              <w:left w:val="nil"/>
              <w:bottom w:val="single" w:color="auto" w:sz="8" w:space="0"/>
              <w:right w:val="single" w:color="auto" w:sz="8" w:space="0"/>
            </w:tcBorders>
            <w:noWrap/>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本年处理决定数量</w:t>
            </w:r>
          </w:p>
        </w:tc>
      </w:tr>
      <w:tr>
        <w:tblPrEx>
          <w:tblCellMar>
            <w:top w:w="0" w:type="dxa"/>
            <w:left w:w="0" w:type="dxa"/>
            <w:bottom w:w="0" w:type="dxa"/>
            <w:right w:w="0" w:type="dxa"/>
          </w:tblCellMar>
        </w:tblPrEx>
        <w:trPr>
          <w:trHeight w:val="431" w:hRule="atLeast"/>
          <w:jc w:val="center"/>
        </w:trPr>
        <w:tc>
          <w:tcPr>
            <w:tcW w:w="2461"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widowControl/>
              <w:jc w:val="left"/>
              <w:rPr>
                <w:rFonts w:ascii="宋体" w:hAnsi="宋体" w:eastAsia="宋体" w:cs="宋体"/>
                <w:kern w:val="0"/>
                <w:sz w:val="24"/>
                <w:szCs w:val="24"/>
              </w:rPr>
            </w:pPr>
            <w:r>
              <w:rPr>
                <w:rFonts w:hint="eastAsia" w:ascii="宋体" w:hAnsi="宋体" w:eastAsia="宋体" w:cs="宋体"/>
                <w:color w:val="000000"/>
                <w:kern w:val="0"/>
                <w:sz w:val="20"/>
                <w:szCs w:val="20"/>
              </w:rPr>
              <w:t>行政许可</w:t>
            </w:r>
          </w:p>
        </w:tc>
        <w:tc>
          <w:tcPr>
            <w:tcW w:w="6553" w:type="dxa"/>
            <w:gridSpan w:val="3"/>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r>
      <w:tr>
        <w:tblPrEx>
          <w:tblCellMar>
            <w:top w:w="0" w:type="dxa"/>
            <w:left w:w="0" w:type="dxa"/>
            <w:bottom w:w="0" w:type="dxa"/>
            <w:right w:w="0" w:type="dxa"/>
          </w:tblCellMar>
        </w:tblPrEx>
        <w:trPr>
          <w:trHeight w:val="406" w:hRule="atLeast"/>
          <w:jc w:val="center"/>
        </w:trPr>
        <w:tc>
          <w:tcPr>
            <w:tcW w:w="9014" w:type="dxa"/>
            <w:gridSpan w:val="4"/>
            <w:tcBorders>
              <w:top w:val="nil"/>
              <w:left w:val="single" w:color="auto" w:sz="8" w:space="0"/>
              <w:bottom w:val="single" w:color="auto" w:sz="8" w:space="0"/>
              <w:right w:val="single" w:color="auto" w:sz="8" w:space="0"/>
            </w:tcBorders>
            <w:shd w:val="clear" w:color="auto" w:fill="C6D9F1"/>
            <w:noWrap/>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第二十条第（六）项</w:t>
            </w:r>
          </w:p>
        </w:tc>
      </w:tr>
      <w:tr>
        <w:tblPrEx>
          <w:tblCellMar>
            <w:top w:w="0" w:type="dxa"/>
            <w:left w:w="0" w:type="dxa"/>
            <w:bottom w:w="0" w:type="dxa"/>
            <w:right w:w="0" w:type="dxa"/>
          </w:tblCellMar>
        </w:tblPrEx>
        <w:trPr>
          <w:trHeight w:val="431" w:hRule="atLeast"/>
          <w:jc w:val="center"/>
        </w:trPr>
        <w:tc>
          <w:tcPr>
            <w:tcW w:w="2461"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信息内容</w:t>
            </w:r>
          </w:p>
        </w:tc>
        <w:tc>
          <w:tcPr>
            <w:tcW w:w="6553" w:type="dxa"/>
            <w:gridSpan w:val="3"/>
            <w:tcBorders>
              <w:top w:val="single" w:color="auto" w:sz="8" w:space="0"/>
              <w:left w:val="nil"/>
              <w:bottom w:val="single" w:color="auto" w:sz="8" w:space="0"/>
              <w:right w:val="single" w:color="auto" w:sz="8" w:space="0"/>
            </w:tcBorders>
            <w:noWrap/>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本年处理决定数量</w:t>
            </w:r>
          </w:p>
        </w:tc>
      </w:tr>
      <w:tr>
        <w:tblPrEx>
          <w:tblCellMar>
            <w:top w:w="0" w:type="dxa"/>
            <w:left w:w="0" w:type="dxa"/>
            <w:bottom w:w="0" w:type="dxa"/>
            <w:right w:w="0" w:type="dxa"/>
          </w:tblCellMar>
        </w:tblPrEx>
        <w:trPr>
          <w:trHeight w:val="430" w:hRule="atLeast"/>
          <w:jc w:val="center"/>
        </w:trPr>
        <w:tc>
          <w:tcPr>
            <w:tcW w:w="2461"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widowControl/>
              <w:jc w:val="left"/>
              <w:rPr>
                <w:rFonts w:ascii="宋体" w:hAnsi="宋体" w:eastAsia="宋体" w:cs="宋体"/>
                <w:kern w:val="0"/>
                <w:sz w:val="24"/>
                <w:szCs w:val="24"/>
              </w:rPr>
            </w:pPr>
            <w:r>
              <w:rPr>
                <w:rFonts w:hint="eastAsia" w:ascii="宋体" w:hAnsi="宋体" w:eastAsia="宋体" w:cs="宋体"/>
                <w:color w:val="000000"/>
                <w:kern w:val="0"/>
                <w:sz w:val="20"/>
                <w:szCs w:val="20"/>
              </w:rPr>
              <w:t>行政处罚</w:t>
            </w:r>
          </w:p>
        </w:tc>
        <w:tc>
          <w:tcPr>
            <w:tcW w:w="6553" w:type="dxa"/>
            <w:gridSpan w:val="3"/>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r>
      <w:tr>
        <w:tblPrEx>
          <w:tblCellMar>
            <w:top w:w="0" w:type="dxa"/>
            <w:left w:w="0" w:type="dxa"/>
            <w:bottom w:w="0" w:type="dxa"/>
            <w:right w:w="0" w:type="dxa"/>
          </w:tblCellMar>
        </w:tblPrEx>
        <w:trPr>
          <w:trHeight w:val="409" w:hRule="atLeast"/>
          <w:jc w:val="center"/>
        </w:trPr>
        <w:tc>
          <w:tcPr>
            <w:tcW w:w="2461"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widowControl/>
              <w:jc w:val="left"/>
              <w:rPr>
                <w:rFonts w:ascii="宋体" w:hAnsi="宋体" w:eastAsia="宋体" w:cs="宋体"/>
                <w:kern w:val="0"/>
                <w:sz w:val="24"/>
                <w:szCs w:val="24"/>
              </w:rPr>
            </w:pPr>
            <w:r>
              <w:rPr>
                <w:rFonts w:hint="eastAsia" w:ascii="宋体" w:hAnsi="宋体" w:eastAsia="宋体" w:cs="宋体"/>
                <w:color w:val="000000"/>
                <w:kern w:val="0"/>
                <w:sz w:val="20"/>
                <w:szCs w:val="20"/>
              </w:rPr>
              <w:t>行政强制</w:t>
            </w:r>
          </w:p>
        </w:tc>
        <w:tc>
          <w:tcPr>
            <w:tcW w:w="6553" w:type="dxa"/>
            <w:gridSpan w:val="3"/>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r>
      <w:tr>
        <w:tblPrEx>
          <w:tblCellMar>
            <w:top w:w="0" w:type="dxa"/>
            <w:left w:w="0" w:type="dxa"/>
            <w:bottom w:w="0" w:type="dxa"/>
            <w:right w:w="0" w:type="dxa"/>
          </w:tblCellMar>
        </w:tblPrEx>
        <w:trPr>
          <w:trHeight w:val="474" w:hRule="atLeast"/>
          <w:jc w:val="center"/>
        </w:trPr>
        <w:tc>
          <w:tcPr>
            <w:tcW w:w="9014" w:type="dxa"/>
            <w:gridSpan w:val="4"/>
            <w:tcBorders>
              <w:top w:val="nil"/>
              <w:left w:val="single" w:color="auto" w:sz="8" w:space="0"/>
              <w:bottom w:val="single" w:color="auto" w:sz="8" w:space="0"/>
              <w:right w:val="single" w:color="auto" w:sz="8" w:space="0"/>
            </w:tcBorders>
            <w:shd w:val="clear" w:color="auto" w:fill="C6D9F1"/>
            <w:noWrap/>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第二十条第（八）项</w:t>
            </w:r>
          </w:p>
        </w:tc>
      </w:tr>
      <w:tr>
        <w:tblPrEx>
          <w:tblCellMar>
            <w:top w:w="0" w:type="dxa"/>
            <w:left w:w="0" w:type="dxa"/>
            <w:bottom w:w="0" w:type="dxa"/>
            <w:right w:w="0" w:type="dxa"/>
          </w:tblCellMar>
        </w:tblPrEx>
        <w:trPr>
          <w:trHeight w:val="431" w:hRule="atLeast"/>
          <w:jc w:val="center"/>
        </w:trPr>
        <w:tc>
          <w:tcPr>
            <w:tcW w:w="2461"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信息内容</w:t>
            </w:r>
          </w:p>
        </w:tc>
        <w:tc>
          <w:tcPr>
            <w:tcW w:w="6553" w:type="dxa"/>
            <w:gridSpan w:val="3"/>
            <w:tcBorders>
              <w:top w:val="nil"/>
              <w:left w:val="nil"/>
              <w:bottom w:val="single" w:color="auto" w:sz="8" w:space="0"/>
              <w:right w:val="single" w:color="000000" w:sz="8" w:space="0"/>
            </w:tcBorders>
            <w:noWrap/>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本年收费金额（单位：万元）</w:t>
            </w:r>
          </w:p>
        </w:tc>
      </w:tr>
      <w:tr>
        <w:tblPrEx>
          <w:tblCellMar>
            <w:top w:w="0" w:type="dxa"/>
            <w:left w:w="0" w:type="dxa"/>
            <w:bottom w:w="0" w:type="dxa"/>
            <w:right w:w="0" w:type="dxa"/>
          </w:tblCellMar>
        </w:tblPrEx>
        <w:trPr>
          <w:trHeight w:val="431" w:hRule="atLeast"/>
          <w:jc w:val="center"/>
        </w:trPr>
        <w:tc>
          <w:tcPr>
            <w:tcW w:w="2461"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widowControl/>
              <w:jc w:val="left"/>
              <w:rPr>
                <w:rFonts w:ascii="宋体" w:hAnsi="宋体" w:eastAsia="宋体" w:cs="宋体"/>
                <w:kern w:val="0"/>
                <w:sz w:val="24"/>
                <w:szCs w:val="24"/>
              </w:rPr>
            </w:pPr>
            <w:r>
              <w:rPr>
                <w:rFonts w:hint="eastAsia" w:ascii="宋体" w:hAnsi="宋体" w:eastAsia="宋体" w:cs="宋体"/>
                <w:color w:val="000000"/>
                <w:kern w:val="0"/>
                <w:sz w:val="20"/>
                <w:szCs w:val="20"/>
              </w:rPr>
              <w:t>行政事业性收费</w:t>
            </w:r>
          </w:p>
        </w:tc>
        <w:tc>
          <w:tcPr>
            <w:tcW w:w="6553" w:type="dxa"/>
            <w:gridSpan w:val="3"/>
            <w:tcBorders>
              <w:top w:val="nil"/>
              <w:left w:val="nil"/>
              <w:bottom w:val="single" w:color="auto" w:sz="8" w:space="0"/>
              <w:right w:val="single" w:color="000000" w:sz="8" w:space="0"/>
            </w:tcBorders>
            <w:noWrap/>
            <w:tcMar>
              <w:top w:w="0" w:type="dxa"/>
              <w:left w:w="108" w:type="dxa"/>
              <w:bottom w:w="0" w:type="dxa"/>
              <w:right w:w="108" w:type="dxa"/>
            </w:tcMar>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r>
    </w:tbl>
    <w:p>
      <w:pPr>
        <w:numPr>
          <w:ilvl w:val="0"/>
          <w:numId w:val="0"/>
        </w:numPr>
        <w:rPr>
          <w:rFonts w:hint="eastAsia" w:ascii="宋体" w:hAnsi="宋体" w:eastAsia="宋体" w:cs="宋体"/>
          <w:b/>
          <w:bCs/>
          <w:sz w:val="24"/>
          <w:szCs w:val="24"/>
          <w:lang w:eastAsia="zh-CN"/>
        </w:rPr>
      </w:pPr>
    </w:p>
    <w:p>
      <w:pPr>
        <w:numPr>
          <w:ilvl w:val="0"/>
          <w:numId w:val="0"/>
        </w:numPr>
        <w:ind w:leftChars="0" w:firstLine="482" w:firstLineChars="200"/>
        <w:rPr>
          <w:rFonts w:hint="eastAsia" w:ascii="宋体" w:hAnsi="宋体" w:eastAsia="宋体" w:cs="宋体"/>
          <w:b/>
          <w:bCs/>
          <w:sz w:val="24"/>
          <w:szCs w:val="24"/>
        </w:rPr>
      </w:pPr>
      <w:r>
        <w:rPr>
          <w:rFonts w:hint="eastAsia" w:ascii="宋体" w:hAnsi="宋体" w:eastAsia="宋体" w:cs="宋体"/>
          <w:b/>
          <w:bCs/>
          <w:sz w:val="24"/>
          <w:szCs w:val="24"/>
          <w:lang w:eastAsia="zh-CN"/>
        </w:rPr>
        <w:t>三、</w:t>
      </w:r>
      <w:r>
        <w:rPr>
          <w:rFonts w:hint="eastAsia" w:ascii="宋体" w:hAnsi="宋体" w:eastAsia="宋体" w:cs="宋体"/>
          <w:b/>
          <w:bCs/>
          <w:sz w:val="24"/>
          <w:szCs w:val="24"/>
        </w:rPr>
        <w:t>收到和处理政府信息公开申请情况</w:t>
      </w:r>
    </w:p>
    <w:p>
      <w:pPr>
        <w:numPr>
          <w:ilvl w:val="0"/>
          <w:numId w:val="0"/>
        </w:numPr>
        <w:ind w:leftChars="0"/>
        <w:rPr>
          <w:rFonts w:hint="eastAsia" w:ascii="宋体" w:hAnsi="宋体" w:eastAsia="宋体" w:cs="宋体"/>
          <w:b/>
          <w:bCs/>
          <w:sz w:val="24"/>
          <w:szCs w:val="24"/>
        </w:rPr>
      </w:pPr>
    </w:p>
    <w:tbl>
      <w:tblPr>
        <w:tblStyle w:val="6"/>
        <w:tblW w:w="9071" w:type="dxa"/>
        <w:jc w:val="center"/>
        <w:tblLayout w:type="autofit"/>
        <w:tblCellMar>
          <w:top w:w="0" w:type="dxa"/>
          <w:left w:w="0" w:type="dxa"/>
          <w:bottom w:w="0" w:type="dxa"/>
          <w:right w:w="0" w:type="dxa"/>
        </w:tblCellMar>
      </w:tblPr>
      <w:tblGrid>
        <w:gridCol w:w="617"/>
        <w:gridCol w:w="854"/>
        <w:gridCol w:w="2216"/>
        <w:gridCol w:w="683"/>
        <w:gridCol w:w="755"/>
        <w:gridCol w:w="755"/>
        <w:gridCol w:w="925"/>
        <w:gridCol w:w="861"/>
        <w:gridCol w:w="711"/>
        <w:gridCol w:w="694"/>
      </w:tblGrid>
      <w:tr>
        <w:tblPrEx>
          <w:tblCellMar>
            <w:top w:w="0" w:type="dxa"/>
            <w:left w:w="0" w:type="dxa"/>
            <w:bottom w:w="0" w:type="dxa"/>
            <w:right w:w="0" w:type="dxa"/>
          </w:tblCellMar>
        </w:tblPrEx>
        <w:trPr>
          <w:trHeight w:val="404" w:hRule="atLeast"/>
          <w:jc w:val="center"/>
        </w:trPr>
        <w:tc>
          <w:tcPr>
            <w:tcW w:w="3687" w:type="dxa"/>
            <w:gridSpan w:val="3"/>
            <w:vMerge w:val="restar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楷体" w:hAnsi="楷体" w:eastAsia="楷体" w:cs="楷体"/>
                <w:kern w:val="0"/>
                <w:sz w:val="20"/>
                <w:szCs w:val="20"/>
              </w:rPr>
              <w:t>（本列数据的勾稽关系为：第一项加第二项之和，等于第三项加第四项之和）</w:t>
            </w:r>
          </w:p>
        </w:tc>
        <w:tc>
          <w:tcPr>
            <w:tcW w:w="5384" w:type="dxa"/>
            <w:gridSpan w:val="7"/>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0"/>
                <w:szCs w:val="20"/>
              </w:rPr>
              <w:t>申请人情况</w:t>
            </w:r>
          </w:p>
        </w:tc>
      </w:tr>
      <w:tr>
        <w:tblPrEx>
          <w:tblCellMar>
            <w:top w:w="0" w:type="dxa"/>
            <w:left w:w="0" w:type="dxa"/>
            <w:bottom w:w="0" w:type="dxa"/>
            <w:right w:w="0" w:type="dxa"/>
          </w:tblCellMar>
        </w:tblPrEx>
        <w:trPr>
          <w:trHeight w:val="414" w:hRule="atLeast"/>
          <w:jc w:val="center"/>
        </w:trPr>
        <w:tc>
          <w:tcPr>
            <w:tcW w:w="3687" w:type="dxa"/>
            <w:gridSpan w:val="3"/>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683" w:type="dxa"/>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自</w:t>
            </w:r>
          </w:p>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然</w:t>
            </w:r>
          </w:p>
          <w:p>
            <w:pPr>
              <w:widowControl/>
              <w:jc w:val="center"/>
              <w:rPr>
                <w:rFonts w:ascii="宋体" w:hAnsi="宋体" w:eastAsia="宋体" w:cs="宋体"/>
                <w:kern w:val="0"/>
                <w:sz w:val="24"/>
                <w:szCs w:val="24"/>
              </w:rPr>
            </w:pPr>
            <w:r>
              <w:rPr>
                <w:rFonts w:hint="eastAsia" w:ascii="宋体" w:hAnsi="宋体" w:eastAsia="宋体" w:cs="宋体"/>
                <w:kern w:val="0"/>
                <w:sz w:val="20"/>
                <w:szCs w:val="20"/>
              </w:rPr>
              <w:t>人</w:t>
            </w:r>
          </w:p>
        </w:tc>
        <w:tc>
          <w:tcPr>
            <w:tcW w:w="4007" w:type="dxa"/>
            <w:gridSpan w:val="5"/>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0"/>
                <w:szCs w:val="20"/>
              </w:rPr>
              <w:t>法人或其他组织</w:t>
            </w:r>
          </w:p>
        </w:tc>
        <w:tc>
          <w:tcPr>
            <w:tcW w:w="694" w:type="dxa"/>
            <w:vMerge w:val="restart"/>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0"/>
                <w:szCs w:val="20"/>
              </w:rPr>
              <w:t>总计</w:t>
            </w:r>
          </w:p>
        </w:tc>
      </w:tr>
      <w:tr>
        <w:tblPrEx>
          <w:tblCellMar>
            <w:top w:w="0" w:type="dxa"/>
            <w:left w:w="0" w:type="dxa"/>
            <w:bottom w:w="0" w:type="dxa"/>
            <w:right w:w="0" w:type="dxa"/>
          </w:tblCellMar>
        </w:tblPrEx>
        <w:trPr>
          <w:trHeight w:val="774" w:hRule="atLeast"/>
          <w:jc w:val="center"/>
        </w:trPr>
        <w:tc>
          <w:tcPr>
            <w:tcW w:w="3687" w:type="dxa"/>
            <w:gridSpan w:val="3"/>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683" w:type="dxa"/>
            <w:vMerge w:val="continue"/>
            <w:tcBorders>
              <w:top w:val="nil"/>
              <w:left w:val="nil"/>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0"/>
                <w:szCs w:val="20"/>
              </w:rPr>
              <w:t>商业企业</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0"/>
                <w:szCs w:val="20"/>
              </w:rPr>
              <w:t>科研机构</w:t>
            </w:r>
          </w:p>
        </w:tc>
        <w:tc>
          <w:tcPr>
            <w:tcW w:w="92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0"/>
                <w:szCs w:val="20"/>
              </w:rPr>
              <w:t>社会公益组织</w:t>
            </w:r>
          </w:p>
        </w:tc>
        <w:tc>
          <w:tcPr>
            <w:tcW w:w="861"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0"/>
                <w:szCs w:val="20"/>
              </w:rPr>
              <w:t>法律服务机构</w:t>
            </w:r>
          </w:p>
        </w:tc>
        <w:tc>
          <w:tcPr>
            <w:tcW w:w="711"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0"/>
                <w:szCs w:val="20"/>
              </w:rPr>
              <w:t>其他</w:t>
            </w:r>
          </w:p>
        </w:tc>
        <w:tc>
          <w:tcPr>
            <w:tcW w:w="0" w:type="auto"/>
            <w:vMerge w:val="continue"/>
            <w:tcBorders>
              <w:top w:val="single" w:color="auto" w:sz="8" w:space="0"/>
              <w:left w:val="nil"/>
              <w:bottom w:val="single" w:color="auto" w:sz="8" w:space="0"/>
              <w:right w:val="single" w:color="auto" w:sz="8" w:space="0"/>
            </w:tcBorders>
            <w:vAlign w:val="center"/>
          </w:tcPr>
          <w:p>
            <w:pPr>
              <w:widowControl/>
              <w:jc w:val="left"/>
              <w:rPr>
                <w:rFonts w:ascii="宋体" w:hAnsi="宋体" w:eastAsia="宋体" w:cs="宋体"/>
                <w:kern w:val="0"/>
                <w:sz w:val="24"/>
                <w:szCs w:val="24"/>
              </w:rPr>
            </w:pPr>
          </w:p>
        </w:tc>
      </w:tr>
      <w:tr>
        <w:tblPrEx>
          <w:tblCellMar>
            <w:top w:w="0" w:type="dxa"/>
            <w:left w:w="0" w:type="dxa"/>
            <w:bottom w:w="0" w:type="dxa"/>
            <w:right w:w="0" w:type="dxa"/>
          </w:tblCellMar>
        </w:tblPrEx>
        <w:trPr>
          <w:trHeight w:val="431" w:hRule="atLeast"/>
          <w:jc w:val="center"/>
        </w:trPr>
        <w:tc>
          <w:tcPr>
            <w:tcW w:w="3687" w:type="dxa"/>
            <w:gridSpan w:val="3"/>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left"/>
              <w:rPr>
                <w:rFonts w:ascii="宋体" w:hAnsi="宋体" w:eastAsia="宋体" w:cs="宋体"/>
                <w:kern w:val="0"/>
                <w:sz w:val="24"/>
                <w:szCs w:val="24"/>
              </w:rPr>
            </w:pPr>
            <w:r>
              <w:rPr>
                <w:rFonts w:hint="eastAsia" w:ascii="宋体" w:hAnsi="宋体" w:eastAsia="宋体" w:cs="宋体"/>
                <w:kern w:val="0"/>
                <w:sz w:val="20"/>
                <w:szCs w:val="20"/>
              </w:rPr>
              <w:t>一、本年新收政府信息公开申请数量</w:t>
            </w:r>
          </w:p>
        </w:tc>
        <w:tc>
          <w:tcPr>
            <w:tcW w:w="683"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92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86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71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69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r>
      <w:tr>
        <w:tblPrEx>
          <w:tblCellMar>
            <w:top w:w="0" w:type="dxa"/>
            <w:left w:w="0" w:type="dxa"/>
            <w:bottom w:w="0" w:type="dxa"/>
            <w:right w:w="0" w:type="dxa"/>
          </w:tblCellMar>
        </w:tblPrEx>
        <w:trPr>
          <w:trHeight w:val="431" w:hRule="atLeast"/>
          <w:jc w:val="center"/>
        </w:trPr>
        <w:tc>
          <w:tcPr>
            <w:tcW w:w="3687" w:type="dxa"/>
            <w:gridSpan w:val="3"/>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left"/>
              <w:rPr>
                <w:rFonts w:ascii="宋体" w:hAnsi="宋体" w:eastAsia="宋体" w:cs="宋体"/>
                <w:kern w:val="0"/>
                <w:sz w:val="24"/>
                <w:szCs w:val="24"/>
              </w:rPr>
            </w:pPr>
            <w:r>
              <w:rPr>
                <w:rFonts w:hint="eastAsia" w:ascii="宋体" w:hAnsi="宋体" w:eastAsia="宋体" w:cs="宋体"/>
                <w:kern w:val="0"/>
                <w:sz w:val="20"/>
                <w:szCs w:val="20"/>
              </w:rPr>
              <w:t>二、上年结转政府信息公开申请数量</w:t>
            </w:r>
          </w:p>
        </w:tc>
        <w:tc>
          <w:tcPr>
            <w:tcW w:w="683"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Cs w:val="24"/>
                <w:lang w:val="en-US" w:eastAsia="zh-CN"/>
              </w:rPr>
            </w:pPr>
            <w:r>
              <w:rPr>
                <w:rFonts w:hint="eastAsia" w:ascii="宋体" w:hAnsi="宋体" w:eastAsia="宋体" w:cs="宋体"/>
                <w:kern w:val="0"/>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92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86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71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69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r>
      <w:tr>
        <w:tblPrEx>
          <w:tblCellMar>
            <w:top w:w="0" w:type="dxa"/>
            <w:left w:w="0" w:type="dxa"/>
            <w:bottom w:w="0" w:type="dxa"/>
            <w:right w:w="0" w:type="dxa"/>
          </w:tblCellMar>
        </w:tblPrEx>
        <w:trPr>
          <w:trHeight w:val="431" w:hRule="atLeast"/>
          <w:jc w:val="center"/>
        </w:trPr>
        <w:tc>
          <w:tcPr>
            <w:tcW w:w="617" w:type="dxa"/>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rPr>
                <w:rFonts w:hint="eastAsia" w:ascii="宋体" w:hAnsi="宋体" w:eastAsia="宋体" w:cs="宋体"/>
                <w:kern w:val="0"/>
                <w:sz w:val="20"/>
                <w:szCs w:val="20"/>
              </w:rPr>
            </w:pPr>
          </w:p>
          <w:p>
            <w:pPr>
              <w:widowControl/>
              <w:rPr>
                <w:rFonts w:hint="eastAsia" w:ascii="宋体" w:hAnsi="宋体" w:eastAsia="宋体" w:cs="宋体"/>
                <w:kern w:val="0"/>
                <w:sz w:val="20"/>
                <w:szCs w:val="20"/>
              </w:rPr>
            </w:pPr>
          </w:p>
          <w:p>
            <w:pPr>
              <w:widowControl/>
              <w:rPr>
                <w:rFonts w:hint="eastAsia" w:ascii="宋体" w:hAnsi="宋体" w:eastAsia="宋体" w:cs="宋体"/>
                <w:kern w:val="0"/>
                <w:sz w:val="20"/>
                <w:szCs w:val="20"/>
              </w:rPr>
            </w:pPr>
          </w:p>
          <w:p>
            <w:pPr>
              <w:widowControl/>
              <w:rPr>
                <w:rFonts w:hint="eastAsia" w:ascii="宋体" w:hAnsi="宋体" w:eastAsia="宋体" w:cs="宋体"/>
                <w:kern w:val="0"/>
                <w:sz w:val="20"/>
                <w:szCs w:val="20"/>
              </w:rPr>
            </w:pPr>
          </w:p>
          <w:p>
            <w:pPr>
              <w:widowControl/>
              <w:rPr>
                <w:rFonts w:hint="eastAsia" w:ascii="宋体" w:hAnsi="宋体" w:eastAsia="宋体" w:cs="宋体"/>
                <w:kern w:val="0"/>
                <w:sz w:val="20"/>
                <w:szCs w:val="20"/>
              </w:rPr>
            </w:pPr>
          </w:p>
          <w:p>
            <w:pPr>
              <w:widowControl/>
              <w:rPr>
                <w:rFonts w:hint="eastAsia" w:ascii="宋体" w:hAnsi="宋体" w:eastAsia="宋体" w:cs="宋体"/>
                <w:kern w:val="0"/>
                <w:sz w:val="20"/>
                <w:szCs w:val="20"/>
              </w:rPr>
            </w:pPr>
          </w:p>
          <w:p>
            <w:pPr>
              <w:widowControl/>
              <w:rPr>
                <w:rFonts w:hint="eastAsia" w:ascii="宋体" w:hAnsi="宋体" w:eastAsia="宋体" w:cs="宋体"/>
                <w:kern w:val="0"/>
                <w:sz w:val="20"/>
                <w:szCs w:val="20"/>
              </w:rPr>
            </w:pPr>
          </w:p>
          <w:p>
            <w:pPr>
              <w:widowControl/>
              <w:rPr>
                <w:rFonts w:hint="eastAsia" w:ascii="宋体" w:hAnsi="宋体" w:eastAsia="宋体" w:cs="宋体"/>
                <w:kern w:val="0"/>
                <w:sz w:val="20"/>
                <w:szCs w:val="20"/>
              </w:rPr>
            </w:pPr>
          </w:p>
          <w:p>
            <w:pPr>
              <w:widowControl/>
              <w:rPr>
                <w:rFonts w:hint="eastAsia" w:ascii="宋体" w:hAnsi="宋体" w:eastAsia="宋体" w:cs="宋体"/>
                <w:kern w:val="0"/>
                <w:sz w:val="20"/>
                <w:szCs w:val="20"/>
              </w:rPr>
            </w:pPr>
          </w:p>
          <w:p>
            <w:pPr>
              <w:widowControl/>
              <w:rPr>
                <w:rFonts w:hint="eastAsia" w:ascii="宋体" w:hAnsi="宋体" w:eastAsia="宋体" w:cs="宋体"/>
                <w:kern w:val="0"/>
                <w:sz w:val="20"/>
                <w:szCs w:val="20"/>
              </w:rPr>
            </w:pPr>
          </w:p>
          <w:p>
            <w:pPr>
              <w:widowControl/>
              <w:rPr>
                <w:rFonts w:hint="eastAsia" w:ascii="宋体" w:hAnsi="宋体" w:eastAsia="宋体" w:cs="宋体"/>
                <w:kern w:val="0"/>
                <w:sz w:val="20"/>
                <w:szCs w:val="20"/>
              </w:rPr>
            </w:pPr>
          </w:p>
          <w:p>
            <w:pPr>
              <w:widowControl/>
              <w:rPr>
                <w:rFonts w:hint="eastAsia" w:ascii="宋体" w:hAnsi="宋体" w:eastAsia="宋体" w:cs="宋体"/>
                <w:kern w:val="0"/>
                <w:sz w:val="20"/>
                <w:szCs w:val="20"/>
              </w:rPr>
            </w:pPr>
          </w:p>
          <w:p>
            <w:pPr>
              <w:widowControl/>
              <w:rPr>
                <w:rFonts w:hint="eastAsia" w:ascii="宋体" w:hAnsi="宋体" w:eastAsia="宋体" w:cs="宋体"/>
                <w:kern w:val="0"/>
                <w:sz w:val="20"/>
                <w:szCs w:val="20"/>
              </w:rPr>
            </w:pPr>
          </w:p>
          <w:p>
            <w:pPr>
              <w:widowControl/>
              <w:rPr>
                <w:rFonts w:hint="eastAsia" w:ascii="宋体" w:hAnsi="宋体" w:eastAsia="宋体" w:cs="宋体"/>
                <w:kern w:val="0"/>
                <w:sz w:val="20"/>
                <w:szCs w:val="20"/>
              </w:rPr>
            </w:pPr>
          </w:p>
          <w:p>
            <w:pPr>
              <w:widowControl/>
              <w:rPr>
                <w:rFonts w:hint="eastAsia" w:ascii="宋体" w:hAnsi="宋体" w:eastAsia="宋体" w:cs="宋体"/>
                <w:kern w:val="0"/>
                <w:sz w:val="20"/>
                <w:szCs w:val="20"/>
              </w:rPr>
            </w:pPr>
          </w:p>
          <w:p>
            <w:pPr>
              <w:widowControl/>
              <w:rPr>
                <w:rFonts w:hint="eastAsia" w:ascii="宋体" w:hAnsi="宋体" w:eastAsia="宋体" w:cs="宋体"/>
                <w:kern w:val="0"/>
                <w:sz w:val="20"/>
                <w:szCs w:val="20"/>
              </w:rPr>
            </w:pPr>
          </w:p>
          <w:p>
            <w:pPr>
              <w:widowControl/>
              <w:rPr>
                <w:rFonts w:hint="eastAsia" w:ascii="宋体" w:hAnsi="宋体" w:eastAsia="宋体" w:cs="宋体"/>
                <w:kern w:val="0"/>
                <w:sz w:val="20"/>
                <w:szCs w:val="20"/>
              </w:rPr>
            </w:pPr>
            <w:r>
              <w:rPr>
                <w:rFonts w:hint="eastAsia" w:ascii="宋体" w:hAnsi="宋体" w:eastAsia="宋体" w:cs="宋体"/>
                <w:kern w:val="0"/>
                <w:sz w:val="20"/>
                <w:szCs w:val="20"/>
              </w:rPr>
              <w:t>三、</w:t>
            </w:r>
          </w:p>
          <w:p>
            <w:pPr>
              <w:widowControl/>
              <w:rPr>
                <w:rFonts w:ascii="宋体" w:hAnsi="宋体" w:eastAsia="宋体" w:cs="宋体"/>
                <w:kern w:val="0"/>
                <w:sz w:val="24"/>
                <w:szCs w:val="24"/>
              </w:rPr>
            </w:pPr>
            <w:r>
              <w:rPr>
                <w:rFonts w:hint="eastAsia" w:ascii="宋体" w:hAnsi="宋体" w:eastAsia="宋体" w:cs="宋体"/>
                <w:kern w:val="0"/>
                <w:sz w:val="20"/>
                <w:szCs w:val="20"/>
              </w:rPr>
              <w:t>本年度办理结果</w:t>
            </w:r>
          </w:p>
        </w:tc>
        <w:tc>
          <w:tcPr>
            <w:tcW w:w="3070"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宋体" w:hAnsi="宋体" w:eastAsia="宋体" w:cs="宋体"/>
                <w:kern w:val="0"/>
                <w:sz w:val="24"/>
                <w:szCs w:val="24"/>
              </w:rPr>
            </w:pPr>
            <w:r>
              <w:rPr>
                <w:rFonts w:hint="eastAsia" w:ascii="宋体" w:hAnsi="宋体" w:eastAsia="宋体" w:cs="宋体"/>
                <w:kern w:val="0"/>
                <w:sz w:val="20"/>
                <w:szCs w:val="20"/>
              </w:rPr>
              <w:t>（一）予以公开</w:t>
            </w:r>
          </w:p>
        </w:tc>
        <w:tc>
          <w:tcPr>
            <w:tcW w:w="683"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92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86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71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69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3070"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宋体" w:hAnsi="宋体" w:eastAsia="宋体" w:cs="宋体"/>
                <w:kern w:val="0"/>
                <w:sz w:val="24"/>
                <w:szCs w:val="24"/>
              </w:rPr>
            </w:pPr>
            <w:r>
              <w:rPr>
                <w:rFonts w:hint="eastAsia" w:ascii="宋体" w:hAnsi="宋体" w:eastAsia="宋体" w:cs="宋体"/>
                <w:kern w:val="0"/>
                <w:sz w:val="20"/>
                <w:szCs w:val="20"/>
              </w:rPr>
              <w:t>（二）部分公开</w:t>
            </w:r>
            <w:r>
              <w:rPr>
                <w:rFonts w:hint="eastAsia" w:ascii="楷体" w:hAnsi="楷体" w:eastAsia="楷体" w:cs="宋体"/>
                <w:kern w:val="0"/>
                <w:sz w:val="20"/>
                <w:szCs w:val="20"/>
              </w:rPr>
              <w:t>（区分处理的，只计这一情形，不计其他情形）</w:t>
            </w:r>
          </w:p>
        </w:tc>
        <w:tc>
          <w:tcPr>
            <w:tcW w:w="683"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92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86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71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69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r>
      <w:tr>
        <w:tblPrEx>
          <w:tblCellMar>
            <w:top w:w="0" w:type="dxa"/>
            <w:left w:w="0" w:type="dxa"/>
            <w:bottom w:w="0" w:type="dxa"/>
            <w:right w:w="0" w:type="dxa"/>
          </w:tblCellMar>
        </w:tblPrEx>
        <w:trPr>
          <w:trHeight w:val="431" w:hRule="atLeast"/>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854" w:type="dxa"/>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宋体" w:hAnsi="宋体" w:eastAsia="宋体" w:cs="宋体"/>
                <w:kern w:val="0"/>
                <w:sz w:val="24"/>
                <w:szCs w:val="24"/>
              </w:rPr>
            </w:pPr>
            <w:r>
              <w:rPr>
                <w:rFonts w:hint="eastAsia" w:asciiTheme="minorEastAsia" w:hAnsiTheme="minorEastAsia" w:cstheme="minorEastAsia"/>
                <w:kern w:val="0"/>
                <w:sz w:val="20"/>
                <w:szCs w:val="20"/>
              </w:rPr>
              <w:t>（三）不予公开</w:t>
            </w:r>
          </w:p>
        </w:tc>
        <w:tc>
          <w:tcPr>
            <w:tcW w:w="221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Theme="minorEastAsia" w:hAnsiTheme="minorEastAsia" w:cstheme="minorEastAsia"/>
                <w:kern w:val="0"/>
                <w:sz w:val="24"/>
                <w:szCs w:val="24"/>
              </w:rPr>
            </w:pPr>
            <w:r>
              <w:rPr>
                <w:rFonts w:hint="eastAsia" w:asciiTheme="minorEastAsia" w:hAnsiTheme="minorEastAsia" w:cstheme="minorEastAsia"/>
                <w:kern w:val="0"/>
                <w:sz w:val="20"/>
                <w:szCs w:val="20"/>
              </w:rPr>
              <w:t>1.属于国家秘密</w:t>
            </w:r>
          </w:p>
        </w:tc>
        <w:tc>
          <w:tcPr>
            <w:tcW w:w="683"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92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86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71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69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0" w:type="auto"/>
            <w:vMerge w:val="continue"/>
            <w:tcBorders>
              <w:top w:val="nil"/>
              <w:left w:val="nil"/>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221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Theme="minorEastAsia" w:hAnsiTheme="minorEastAsia" w:cstheme="minorEastAsia"/>
                <w:kern w:val="0"/>
                <w:sz w:val="24"/>
                <w:szCs w:val="24"/>
              </w:rPr>
            </w:pPr>
            <w:r>
              <w:rPr>
                <w:rFonts w:hint="eastAsia" w:asciiTheme="minorEastAsia" w:hAnsiTheme="minorEastAsia" w:cstheme="minorEastAsia"/>
                <w:kern w:val="0"/>
                <w:sz w:val="20"/>
                <w:szCs w:val="20"/>
              </w:rPr>
              <w:t>2.其他法律行政法规禁止公开</w:t>
            </w:r>
          </w:p>
        </w:tc>
        <w:tc>
          <w:tcPr>
            <w:tcW w:w="683"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92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86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71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69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r>
      <w:tr>
        <w:tblPrEx>
          <w:tblCellMar>
            <w:top w:w="0" w:type="dxa"/>
            <w:left w:w="0" w:type="dxa"/>
            <w:bottom w:w="0" w:type="dxa"/>
            <w:right w:w="0" w:type="dxa"/>
          </w:tblCellMar>
        </w:tblPrEx>
        <w:trPr>
          <w:trHeight w:val="431" w:hRule="atLeast"/>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0" w:type="auto"/>
            <w:vMerge w:val="continue"/>
            <w:tcBorders>
              <w:top w:val="nil"/>
              <w:left w:val="nil"/>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221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Theme="minorEastAsia" w:hAnsiTheme="minorEastAsia" w:cstheme="minorEastAsia"/>
                <w:kern w:val="0"/>
                <w:sz w:val="24"/>
                <w:szCs w:val="24"/>
              </w:rPr>
            </w:pPr>
            <w:r>
              <w:rPr>
                <w:rFonts w:hint="eastAsia" w:asciiTheme="minorEastAsia" w:hAnsiTheme="minorEastAsia" w:cstheme="minorEastAsia"/>
                <w:kern w:val="0"/>
                <w:sz w:val="20"/>
                <w:szCs w:val="20"/>
              </w:rPr>
              <w:t>3.危及“三安全一稳定”</w:t>
            </w:r>
          </w:p>
        </w:tc>
        <w:tc>
          <w:tcPr>
            <w:tcW w:w="683"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92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86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71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69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r>
      <w:tr>
        <w:tblPrEx>
          <w:tblCellMar>
            <w:top w:w="0" w:type="dxa"/>
            <w:left w:w="0" w:type="dxa"/>
            <w:bottom w:w="0" w:type="dxa"/>
            <w:right w:w="0" w:type="dxa"/>
          </w:tblCellMar>
        </w:tblPrEx>
        <w:trPr>
          <w:trHeight w:val="431" w:hRule="atLeast"/>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0" w:type="auto"/>
            <w:vMerge w:val="continue"/>
            <w:tcBorders>
              <w:top w:val="nil"/>
              <w:left w:val="nil"/>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221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Theme="minorEastAsia" w:hAnsiTheme="minorEastAsia" w:cstheme="minorEastAsia"/>
                <w:kern w:val="0"/>
                <w:sz w:val="24"/>
                <w:szCs w:val="24"/>
              </w:rPr>
            </w:pPr>
            <w:r>
              <w:rPr>
                <w:rFonts w:hint="eastAsia" w:asciiTheme="minorEastAsia" w:hAnsiTheme="minorEastAsia" w:cstheme="minorEastAsia"/>
                <w:kern w:val="0"/>
                <w:sz w:val="20"/>
                <w:szCs w:val="20"/>
              </w:rPr>
              <w:t>4.保护第三方合法权益</w:t>
            </w:r>
          </w:p>
        </w:tc>
        <w:tc>
          <w:tcPr>
            <w:tcW w:w="683"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92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86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71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69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0" w:type="auto"/>
            <w:vMerge w:val="continue"/>
            <w:tcBorders>
              <w:top w:val="nil"/>
              <w:left w:val="nil"/>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221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Theme="minorEastAsia" w:hAnsiTheme="minorEastAsia" w:cstheme="minorEastAsia"/>
                <w:kern w:val="0"/>
                <w:sz w:val="24"/>
                <w:szCs w:val="24"/>
              </w:rPr>
            </w:pPr>
            <w:r>
              <w:rPr>
                <w:rFonts w:hint="eastAsia" w:asciiTheme="minorEastAsia" w:hAnsiTheme="minorEastAsia" w:cstheme="minorEastAsia"/>
                <w:kern w:val="0"/>
                <w:sz w:val="20"/>
                <w:szCs w:val="20"/>
              </w:rPr>
              <w:t>5.属于三类内部事务信息</w:t>
            </w:r>
          </w:p>
        </w:tc>
        <w:tc>
          <w:tcPr>
            <w:tcW w:w="683"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92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86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71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69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r>
      <w:tr>
        <w:tblPrEx>
          <w:tblCellMar>
            <w:top w:w="0" w:type="dxa"/>
            <w:left w:w="0" w:type="dxa"/>
            <w:bottom w:w="0" w:type="dxa"/>
            <w:right w:w="0" w:type="dxa"/>
          </w:tblCellMar>
        </w:tblPrEx>
        <w:trPr>
          <w:trHeight w:val="431" w:hRule="atLeast"/>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0" w:type="auto"/>
            <w:vMerge w:val="continue"/>
            <w:tcBorders>
              <w:top w:val="nil"/>
              <w:left w:val="nil"/>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221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Theme="minorEastAsia" w:hAnsiTheme="minorEastAsia" w:cstheme="minorEastAsia"/>
                <w:kern w:val="0"/>
                <w:sz w:val="24"/>
                <w:szCs w:val="24"/>
              </w:rPr>
            </w:pPr>
            <w:r>
              <w:rPr>
                <w:rFonts w:hint="eastAsia" w:asciiTheme="minorEastAsia" w:hAnsiTheme="minorEastAsia" w:cstheme="minorEastAsia"/>
                <w:kern w:val="0"/>
                <w:sz w:val="20"/>
                <w:szCs w:val="20"/>
              </w:rPr>
              <w:t>6.属于四类过程性信息</w:t>
            </w:r>
          </w:p>
        </w:tc>
        <w:tc>
          <w:tcPr>
            <w:tcW w:w="683"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92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86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71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69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r>
      <w:tr>
        <w:tblPrEx>
          <w:tblCellMar>
            <w:top w:w="0" w:type="dxa"/>
            <w:left w:w="0" w:type="dxa"/>
            <w:bottom w:w="0" w:type="dxa"/>
            <w:right w:w="0" w:type="dxa"/>
          </w:tblCellMar>
        </w:tblPrEx>
        <w:trPr>
          <w:trHeight w:val="584" w:hRule="atLeast"/>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0" w:type="auto"/>
            <w:vMerge w:val="continue"/>
            <w:tcBorders>
              <w:top w:val="nil"/>
              <w:left w:val="nil"/>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221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Theme="minorEastAsia" w:hAnsiTheme="minorEastAsia" w:cstheme="minorEastAsia"/>
                <w:kern w:val="0"/>
                <w:sz w:val="24"/>
                <w:szCs w:val="24"/>
              </w:rPr>
            </w:pPr>
            <w:r>
              <w:rPr>
                <w:rFonts w:hint="eastAsia" w:asciiTheme="minorEastAsia" w:hAnsiTheme="minorEastAsia" w:cstheme="minorEastAsia"/>
                <w:kern w:val="0"/>
                <w:sz w:val="20"/>
                <w:szCs w:val="20"/>
              </w:rPr>
              <w:t>7.属于行政执法案卷</w:t>
            </w:r>
          </w:p>
        </w:tc>
        <w:tc>
          <w:tcPr>
            <w:tcW w:w="683"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92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86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71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69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r>
      <w:tr>
        <w:tblPrEx>
          <w:tblCellMar>
            <w:top w:w="0" w:type="dxa"/>
            <w:left w:w="0" w:type="dxa"/>
            <w:bottom w:w="0" w:type="dxa"/>
            <w:right w:w="0" w:type="dxa"/>
          </w:tblCellMar>
        </w:tblPrEx>
        <w:trPr>
          <w:trHeight w:val="549" w:hRule="atLeast"/>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0" w:type="auto"/>
            <w:vMerge w:val="continue"/>
            <w:tcBorders>
              <w:top w:val="nil"/>
              <w:left w:val="nil"/>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221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Theme="minorEastAsia" w:hAnsiTheme="minorEastAsia" w:cstheme="minorEastAsia"/>
                <w:kern w:val="0"/>
                <w:sz w:val="24"/>
                <w:szCs w:val="24"/>
              </w:rPr>
            </w:pPr>
            <w:r>
              <w:rPr>
                <w:rFonts w:hint="eastAsia" w:asciiTheme="minorEastAsia" w:hAnsiTheme="minorEastAsia" w:cstheme="minorEastAsia"/>
                <w:kern w:val="0"/>
                <w:sz w:val="20"/>
                <w:szCs w:val="20"/>
              </w:rPr>
              <w:t>8.属于行政查询事项</w:t>
            </w:r>
          </w:p>
        </w:tc>
        <w:tc>
          <w:tcPr>
            <w:tcW w:w="683"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92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86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71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69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854" w:type="dxa"/>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宋体" w:hAnsi="宋体" w:eastAsia="宋体" w:cs="宋体"/>
                <w:kern w:val="0"/>
                <w:sz w:val="24"/>
                <w:szCs w:val="24"/>
              </w:rPr>
            </w:pPr>
            <w:r>
              <w:rPr>
                <w:rFonts w:hint="eastAsia" w:ascii="宋体" w:hAnsi="宋体" w:eastAsia="宋体" w:cs="宋体"/>
                <w:kern w:val="0"/>
                <w:sz w:val="20"/>
                <w:szCs w:val="20"/>
              </w:rPr>
              <w:t>（四）无法提供</w:t>
            </w:r>
          </w:p>
        </w:tc>
        <w:tc>
          <w:tcPr>
            <w:tcW w:w="221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宋体" w:hAnsi="宋体" w:eastAsia="宋体" w:cs="宋体"/>
                <w:kern w:val="0"/>
                <w:sz w:val="24"/>
                <w:szCs w:val="24"/>
              </w:rPr>
            </w:pPr>
            <w:r>
              <w:rPr>
                <w:rFonts w:hint="eastAsia" w:ascii="宋体" w:hAnsi="宋体" w:eastAsia="宋体" w:cs="宋体"/>
                <w:kern w:val="0"/>
                <w:sz w:val="20"/>
                <w:szCs w:val="20"/>
              </w:rPr>
              <w:t>1.本机关不掌握相关政府信息</w:t>
            </w:r>
          </w:p>
        </w:tc>
        <w:tc>
          <w:tcPr>
            <w:tcW w:w="683"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宋体" w:hAnsi="宋体" w:eastAsia="宋体" w:cs="宋体"/>
                <w:kern w:val="0"/>
                <w:sz w:val="24"/>
                <w:szCs w:val="24"/>
                <w:lang w:val="en" w:eastAsia="zh-CN"/>
              </w:rPr>
            </w:pPr>
            <w:r>
              <w:rPr>
                <w:rFonts w:hint="default" w:ascii="宋体" w:hAnsi="宋体" w:eastAsia="宋体" w:cs="宋体"/>
                <w:kern w:val="0"/>
                <w:sz w:val="24"/>
                <w:szCs w:val="24"/>
                <w:lang w:val="en"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92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86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71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69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宋体" w:hAnsi="宋体" w:eastAsia="宋体" w:cs="宋体"/>
                <w:kern w:val="0"/>
                <w:sz w:val="24"/>
                <w:szCs w:val="24"/>
                <w:lang w:val="en" w:eastAsia="zh-CN"/>
              </w:rPr>
            </w:pPr>
            <w:r>
              <w:rPr>
                <w:rFonts w:hint="default" w:ascii="宋体" w:hAnsi="宋体" w:eastAsia="宋体" w:cs="宋体"/>
                <w:kern w:val="0"/>
                <w:sz w:val="24"/>
                <w:szCs w:val="24"/>
                <w:lang w:val="en" w:eastAsia="zh-CN"/>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0" w:type="auto"/>
            <w:vMerge w:val="continue"/>
            <w:tcBorders>
              <w:top w:val="nil"/>
              <w:left w:val="nil"/>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221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宋体" w:hAnsi="宋体" w:eastAsia="宋体" w:cs="宋体"/>
                <w:kern w:val="0"/>
                <w:sz w:val="24"/>
                <w:szCs w:val="24"/>
              </w:rPr>
            </w:pPr>
            <w:r>
              <w:rPr>
                <w:rFonts w:hint="eastAsia" w:ascii="宋体" w:hAnsi="宋体" w:eastAsia="宋体" w:cs="宋体"/>
                <w:kern w:val="0"/>
                <w:sz w:val="20"/>
                <w:szCs w:val="20"/>
              </w:rPr>
              <w:t>2.没有现成信息需要另行制作</w:t>
            </w:r>
          </w:p>
        </w:tc>
        <w:tc>
          <w:tcPr>
            <w:tcW w:w="683"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92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86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71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69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0" w:type="auto"/>
            <w:vMerge w:val="continue"/>
            <w:tcBorders>
              <w:top w:val="nil"/>
              <w:left w:val="nil"/>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221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宋体" w:hAnsi="宋体" w:eastAsia="宋体" w:cs="宋体"/>
                <w:kern w:val="0"/>
                <w:sz w:val="24"/>
                <w:szCs w:val="24"/>
              </w:rPr>
            </w:pPr>
            <w:r>
              <w:rPr>
                <w:rFonts w:hint="eastAsia" w:ascii="宋体" w:hAnsi="宋体" w:eastAsia="宋体" w:cs="宋体"/>
                <w:kern w:val="0"/>
                <w:sz w:val="20"/>
                <w:szCs w:val="20"/>
              </w:rPr>
              <w:t>3.补正后申请内容仍不明确</w:t>
            </w:r>
          </w:p>
        </w:tc>
        <w:tc>
          <w:tcPr>
            <w:tcW w:w="683"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92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86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71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69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r>
      <w:tr>
        <w:tblPrEx>
          <w:tblCellMar>
            <w:top w:w="0" w:type="dxa"/>
            <w:left w:w="0" w:type="dxa"/>
            <w:bottom w:w="0" w:type="dxa"/>
            <w:right w:w="0" w:type="dxa"/>
          </w:tblCellMar>
        </w:tblPrEx>
        <w:trPr>
          <w:trHeight w:val="568" w:hRule="atLeast"/>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854" w:type="dxa"/>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宋体" w:hAnsi="宋体" w:eastAsia="宋体" w:cs="宋体"/>
                <w:kern w:val="0"/>
                <w:sz w:val="24"/>
                <w:szCs w:val="24"/>
              </w:rPr>
            </w:pPr>
            <w:r>
              <w:rPr>
                <w:rFonts w:hint="eastAsia" w:ascii="宋体" w:hAnsi="宋体" w:eastAsia="宋体" w:cs="宋体"/>
                <w:kern w:val="0"/>
                <w:sz w:val="20"/>
                <w:szCs w:val="20"/>
              </w:rPr>
              <w:t>（五）不予处理</w:t>
            </w:r>
          </w:p>
        </w:tc>
        <w:tc>
          <w:tcPr>
            <w:tcW w:w="221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宋体" w:hAnsi="宋体" w:eastAsia="宋体" w:cs="宋体"/>
                <w:kern w:val="0"/>
                <w:sz w:val="24"/>
                <w:szCs w:val="24"/>
              </w:rPr>
            </w:pPr>
            <w:r>
              <w:rPr>
                <w:rFonts w:hint="eastAsia" w:ascii="宋体" w:hAnsi="宋体" w:eastAsia="宋体" w:cs="宋体"/>
                <w:kern w:val="0"/>
                <w:sz w:val="20"/>
                <w:szCs w:val="20"/>
              </w:rPr>
              <w:t>1.信访举报投诉类申请</w:t>
            </w:r>
          </w:p>
        </w:tc>
        <w:tc>
          <w:tcPr>
            <w:tcW w:w="683"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92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86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71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69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r>
      <w:tr>
        <w:tblPrEx>
          <w:tblCellMar>
            <w:top w:w="0" w:type="dxa"/>
            <w:left w:w="0" w:type="dxa"/>
            <w:bottom w:w="0" w:type="dxa"/>
            <w:right w:w="0" w:type="dxa"/>
          </w:tblCellMar>
        </w:tblPrEx>
        <w:trPr>
          <w:trHeight w:val="667" w:hRule="atLeast"/>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0" w:type="auto"/>
            <w:vMerge w:val="continue"/>
            <w:tcBorders>
              <w:top w:val="nil"/>
              <w:left w:val="nil"/>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221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宋体" w:hAnsi="宋体" w:eastAsia="宋体" w:cs="宋体"/>
                <w:kern w:val="0"/>
                <w:sz w:val="24"/>
                <w:szCs w:val="24"/>
              </w:rPr>
            </w:pPr>
            <w:r>
              <w:rPr>
                <w:rFonts w:hint="eastAsia" w:ascii="宋体" w:hAnsi="宋体" w:eastAsia="宋体" w:cs="宋体"/>
                <w:kern w:val="0"/>
                <w:sz w:val="20"/>
                <w:szCs w:val="20"/>
              </w:rPr>
              <w:t>2.重复申请</w:t>
            </w:r>
          </w:p>
        </w:tc>
        <w:tc>
          <w:tcPr>
            <w:tcW w:w="683"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Calibri" w:hAnsi="Calibri" w:eastAsia="宋体" w:cs="Calibri"/>
                <w:kern w:val="0"/>
                <w:sz w:val="20"/>
                <w:szCs w:val="20"/>
                <w:lang w:val="en"/>
              </w:rPr>
            </w:pPr>
            <w:r>
              <w:rPr>
                <w:rFonts w:hint="default" w:ascii="宋体" w:hAnsi="宋体" w:eastAsia="宋体" w:cs="宋体"/>
                <w:kern w:val="0"/>
                <w:sz w:val="24"/>
                <w:szCs w:val="24"/>
                <w:lang w:val="en"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Calibri" w:hAnsi="Calibri" w:eastAsia="宋体" w:cs="Calibri"/>
                <w:kern w:val="0"/>
                <w:sz w:val="20"/>
                <w:szCs w:val="20"/>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Calibri" w:hAnsi="Calibri" w:eastAsia="宋体" w:cs="Calibri"/>
                <w:kern w:val="0"/>
                <w:sz w:val="20"/>
                <w:szCs w:val="20"/>
              </w:rPr>
            </w:pPr>
            <w:r>
              <w:rPr>
                <w:rFonts w:hint="eastAsia" w:ascii="宋体" w:hAnsi="宋体" w:eastAsia="宋体" w:cs="宋体"/>
                <w:kern w:val="0"/>
                <w:sz w:val="24"/>
                <w:szCs w:val="24"/>
                <w:lang w:val="en-US" w:eastAsia="zh-CN"/>
              </w:rPr>
              <w:t>0</w:t>
            </w:r>
          </w:p>
        </w:tc>
        <w:tc>
          <w:tcPr>
            <w:tcW w:w="92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Calibri" w:hAnsi="Calibri" w:eastAsia="宋体" w:cs="Calibri"/>
                <w:kern w:val="0"/>
                <w:sz w:val="20"/>
                <w:szCs w:val="20"/>
              </w:rPr>
            </w:pPr>
            <w:r>
              <w:rPr>
                <w:rFonts w:hint="eastAsia" w:ascii="宋体" w:hAnsi="宋体" w:eastAsia="宋体" w:cs="宋体"/>
                <w:kern w:val="0"/>
                <w:sz w:val="24"/>
                <w:szCs w:val="24"/>
                <w:lang w:val="en-US" w:eastAsia="zh-CN"/>
              </w:rPr>
              <w:t>0</w:t>
            </w:r>
          </w:p>
        </w:tc>
        <w:tc>
          <w:tcPr>
            <w:tcW w:w="86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Calibri" w:hAnsi="Calibri" w:eastAsia="宋体" w:cs="Calibri"/>
                <w:kern w:val="0"/>
                <w:sz w:val="20"/>
                <w:szCs w:val="20"/>
              </w:rPr>
            </w:pPr>
            <w:r>
              <w:rPr>
                <w:rFonts w:hint="eastAsia" w:ascii="宋体" w:hAnsi="宋体" w:eastAsia="宋体" w:cs="宋体"/>
                <w:kern w:val="0"/>
                <w:sz w:val="24"/>
                <w:szCs w:val="24"/>
                <w:lang w:val="en-US" w:eastAsia="zh-CN"/>
              </w:rPr>
              <w:t>0</w:t>
            </w:r>
          </w:p>
        </w:tc>
        <w:tc>
          <w:tcPr>
            <w:tcW w:w="71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Calibri" w:hAnsi="Calibri" w:eastAsia="宋体" w:cs="Calibri"/>
                <w:kern w:val="0"/>
                <w:sz w:val="20"/>
                <w:szCs w:val="20"/>
              </w:rPr>
            </w:pPr>
            <w:r>
              <w:rPr>
                <w:rFonts w:hint="eastAsia" w:ascii="宋体" w:hAnsi="宋体" w:eastAsia="宋体" w:cs="宋体"/>
                <w:kern w:val="0"/>
                <w:sz w:val="24"/>
                <w:szCs w:val="24"/>
                <w:lang w:val="en-US" w:eastAsia="zh-CN"/>
              </w:rPr>
              <w:t>0</w:t>
            </w:r>
          </w:p>
        </w:tc>
        <w:tc>
          <w:tcPr>
            <w:tcW w:w="69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Calibri" w:hAnsi="Calibri" w:eastAsia="宋体" w:cs="Calibri"/>
                <w:kern w:val="0"/>
                <w:sz w:val="20"/>
                <w:szCs w:val="20"/>
                <w:lang w:val="en"/>
              </w:rPr>
            </w:pPr>
            <w:r>
              <w:rPr>
                <w:rFonts w:hint="default" w:ascii="宋体" w:hAnsi="宋体" w:eastAsia="宋体" w:cs="宋体"/>
                <w:kern w:val="0"/>
                <w:sz w:val="24"/>
                <w:szCs w:val="24"/>
                <w:lang w:val="en" w:eastAsia="zh-CN"/>
              </w:rPr>
              <w:t>0</w:t>
            </w:r>
          </w:p>
        </w:tc>
      </w:tr>
      <w:tr>
        <w:tblPrEx>
          <w:tblCellMar>
            <w:top w:w="0" w:type="dxa"/>
            <w:left w:w="0" w:type="dxa"/>
            <w:bottom w:w="0" w:type="dxa"/>
            <w:right w:w="0" w:type="dxa"/>
          </w:tblCellMar>
        </w:tblPrEx>
        <w:trPr>
          <w:trHeight w:val="705" w:hRule="atLeast"/>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0" w:type="auto"/>
            <w:vMerge w:val="continue"/>
            <w:tcBorders>
              <w:top w:val="nil"/>
              <w:left w:val="nil"/>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221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宋体" w:hAnsi="宋体" w:eastAsia="宋体" w:cs="宋体"/>
                <w:kern w:val="0"/>
                <w:sz w:val="24"/>
                <w:szCs w:val="24"/>
              </w:rPr>
            </w:pPr>
            <w:r>
              <w:rPr>
                <w:rFonts w:hint="eastAsia" w:ascii="宋体" w:hAnsi="宋体" w:eastAsia="宋体" w:cs="宋体"/>
                <w:kern w:val="0"/>
                <w:sz w:val="20"/>
                <w:szCs w:val="20"/>
              </w:rPr>
              <w:t>3.要求提供公开出版物</w:t>
            </w:r>
          </w:p>
        </w:tc>
        <w:tc>
          <w:tcPr>
            <w:tcW w:w="683"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cstheme="minorEastAsia"/>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lang w:val="en-US" w:eastAsia="zh-CN"/>
              </w:rPr>
              <w:t>0</w:t>
            </w:r>
          </w:p>
        </w:tc>
        <w:tc>
          <w:tcPr>
            <w:tcW w:w="92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lang w:val="en-US" w:eastAsia="zh-CN"/>
              </w:rPr>
              <w:t>0</w:t>
            </w:r>
          </w:p>
        </w:tc>
        <w:tc>
          <w:tcPr>
            <w:tcW w:w="86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lang w:val="en-US" w:eastAsia="zh-CN"/>
              </w:rPr>
              <w:t>0</w:t>
            </w:r>
          </w:p>
        </w:tc>
        <w:tc>
          <w:tcPr>
            <w:tcW w:w="71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lang w:val="en-US" w:eastAsia="zh-CN"/>
              </w:rPr>
              <w:t>0</w:t>
            </w:r>
          </w:p>
        </w:tc>
        <w:tc>
          <w:tcPr>
            <w:tcW w:w="69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cstheme="minorEastAsia"/>
                <w:kern w:val="0"/>
                <w:sz w:val="24"/>
                <w:szCs w:val="24"/>
                <w:lang w:val="en-US" w:eastAsia="zh-CN"/>
              </w:rPr>
              <w:t>0</w:t>
            </w:r>
          </w:p>
        </w:tc>
      </w:tr>
      <w:tr>
        <w:tblPrEx>
          <w:tblCellMar>
            <w:top w:w="0" w:type="dxa"/>
            <w:left w:w="0" w:type="dxa"/>
            <w:bottom w:w="0" w:type="dxa"/>
            <w:right w:w="0" w:type="dxa"/>
          </w:tblCellMar>
        </w:tblPrEx>
        <w:trPr>
          <w:trHeight w:val="680" w:hRule="atLeast"/>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0" w:type="auto"/>
            <w:vMerge w:val="continue"/>
            <w:tcBorders>
              <w:top w:val="nil"/>
              <w:left w:val="nil"/>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221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宋体" w:hAnsi="宋体" w:eastAsia="宋体" w:cs="宋体"/>
                <w:kern w:val="0"/>
                <w:sz w:val="24"/>
                <w:szCs w:val="24"/>
              </w:rPr>
            </w:pPr>
            <w:r>
              <w:rPr>
                <w:rFonts w:hint="eastAsia" w:ascii="宋体" w:hAnsi="宋体" w:eastAsia="宋体" w:cs="宋体"/>
                <w:kern w:val="0"/>
                <w:sz w:val="20"/>
                <w:szCs w:val="20"/>
              </w:rPr>
              <w:t>4.无正当理由大量反复申请</w:t>
            </w:r>
          </w:p>
        </w:tc>
        <w:tc>
          <w:tcPr>
            <w:tcW w:w="683"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Calibri" w:hAnsi="Calibri" w:eastAsia="宋体" w:cs="Calibri"/>
                <w:kern w:val="0"/>
                <w:sz w:val="20"/>
                <w:szCs w:val="20"/>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Calibri" w:hAnsi="Calibri" w:eastAsia="宋体" w:cs="Calibri"/>
                <w:kern w:val="0"/>
                <w:sz w:val="20"/>
                <w:szCs w:val="20"/>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Calibri" w:hAnsi="Calibri" w:eastAsia="宋体" w:cs="Calibri"/>
                <w:kern w:val="0"/>
                <w:sz w:val="20"/>
                <w:szCs w:val="20"/>
              </w:rPr>
            </w:pPr>
            <w:r>
              <w:rPr>
                <w:rFonts w:hint="eastAsia" w:ascii="宋体" w:hAnsi="宋体" w:eastAsia="宋体" w:cs="宋体"/>
                <w:kern w:val="0"/>
                <w:sz w:val="24"/>
                <w:szCs w:val="24"/>
                <w:lang w:val="en-US" w:eastAsia="zh-CN"/>
              </w:rPr>
              <w:t>0</w:t>
            </w:r>
          </w:p>
        </w:tc>
        <w:tc>
          <w:tcPr>
            <w:tcW w:w="92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Calibri" w:hAnsi="Calibri" w:eastAsia="宋体" w:cs="Calibri"/>
                <w:kern w:val="0"/>
                <w:sz w:val="20"/>
                <w:szCs w:val="20"/>
              </w:rPr>
            </w:pPr>
            <w:r>
              <w:rPr>
                <w:rFonts w:hint="eastAsia" w:ascii="宋体" w:hAnsi="宋体" w:eastAsia="宋体" w:cs="宋体"/>
                <w:kern w:val="0"/>
                <w:sz w:val="24"/>
                <w:szCs w:val="24"/>
                <w:lang w:val="en-US" w:eastAsia="zh-CN"/>
              </w:rPr>
              <w:t>0</w:t>
            </w:r>
          </w:p>
        </w:tc>
        <w:tc>
          <w:tcPr>
            <w:tcW w:w="86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Calibri" w:hAnsi="Calibri" w:eastAsia="宋体" w:cs="Calibri"/>
                <w:kern w:val="0"/>
                <w:sz w:val="20"/>
                <w:szCs w:val="20"/>
              </w:rPr>
            </w:pPr>
            <w:r>
              <w:rPr>
                <w:rFonts w:hint="eastAsia" w:ascii="宋体" w:hAnsi="宋体" w:eastAsia="宋体" w:cs="宋体"/>
                <w:kern w:val="0"/>
                <w:sz w:val="24"/>
                <w:szCs w:val="24"/>
                <w:lang w:val="en-US" w:eastAsia="zh-CN"/>
              </w:rPr>
              <w:t>0</w:t>
            </w:r>
          </w:p>
        </w:tc>
        <w:tc>
          <w:tcPr>
            <w:tcW w:w="71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Calibri" w:hAnsi="Calibri" w:eastAsia="宋体" w:cs="Calibri"/>
                <w:kern w:val="0"/>
                <w:sz w:val="20"/>
                <w:szCs w:val="20"/>
              </w:rPr>
            </w:pPr>
            <w:r>
              <w:rPr>
                <w:rFonts w:hint="eastAsia" w:ascii="宋体" w:hAnsi="宋体" w:eastAsia="宋体" w:cs="宋体"/>
                <w:kern w:val="0"/>
                <w:sz w:val="24"/>
                <w:szCs w:val="24"/>
                <w:lang w:val="en-US" w:eastAsia="zh-CN"/>
              </w:rPr>
              <w:t>0</w:t>
            </w:r>
          </w:p>
        </w:tc>
        <w:tc>
          <w:tcPr>
            <w:tcW w:w="69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Calibri" w:hAnsi="Calibri" w:eastAsia="宋体" w:cs="Calibri"/>
                <w:kern w:val="0"/>
                <w:sz w:val="20"/>
                <w:szCs w:val="20"/>
              </w:rPr>
            </w:pPr>
            <w:r>
              <w:rPr>
                <w:rFonts w:hint="eastAsia" w:ascii="宋体" w:hAnsi="宋体" w:eastAsia="宋体" w:cs="宋体"/>
                <w:kern w:val="0"/>
                <w:sz w:val="24"/>
                <w:szCs w:val="24"/>
                <w:lang w:val="en-US" w:eastAsia="zh-CN"/>
              </w:rPr>
              <w:t>0</w:t>
            </w:r>
          </w:p>
        </w:tc>
      </w:tr>
      <w:tr>
        <w:tblPrEx>
          <w:tblCellMar>
            <w:top w:w="0" w:type="dxa"/>
            <w:left w:w="0" w:type="dxa"/>
            <w:bottom w:w="0" w:type="dxa"/>
            <w:right w:w="0" w:type="dxa"/>
          </w:tblCellMar>
        </w:tblPrEx>
        <w:trPr>
          <w:trHeight w:val="704" w:hRule="atLeast"/>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0" w:type="auto"/>
            <w:vMerge w:val="continue"/>
            <w:tcBorders>
              <w:top w:val="nil"/>
              <w:left w:val="nil"/>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221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宋体" w:hAnsi="宋体" w:eastAsia="宋体" w:cs="宋体"/>
                <w:kern w:val="0"/>
                <w:sz w:val="24"/>
                <w:szCs w:val="24"/>
              </w:rPr>
            </w:pPr>
            <w:r>
              <w:rPr>
                <w:rFonts w:hint="eastAsia" w:ascii="宋体" w:hAnsi="宋体" w:eastAsia="宋体" w:cs="宋体"/>
                <w:kern w:val="0"/>
                <w:sz w:val="20"/>
                <w:szCs w:val="20"/>
              </w:rPr>
              <w:t>5.要求行政机关确认或重新出具已获取信息</w:t>
            </w:r>
          </w:p>
        </w:tc>
        <w:tc>
          <w:tcPr>
            <w:tcW w:w="683"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Calibri" w:hAnsi="Calibri" w:eastAsia="宋体" w:cs="Calibri"/>
                <w:kern w:val="0"/>
                <w:sz w:val="20"/>
                <w:szCs w:val="20"/>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Calibri" w:hAnsi="Calibri" w:eastAsia="宋体" w:cs="Calibri"/>
                <w:kern w:val="0"/>
                <w:sz w:val="20"/>
                <w:szCs w:val="20"/>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Calibri" w:hAnsi="Calibri" w:eastAsia="宋体" w:cs="Calibri"/>
                <w:kern w:val="0"/>
                <w:sz w:val="20"/>
                <w:szCs w:val="20"/>
              </w:rPr>
            </w:pPr>
            <w:r>
              <w:rPr>
                <w:rFonts w:hint="eastAsia" w:ascii="宋体" w:hAnsi="宋体" w:eastAsia="宋体" w:cs="宋体"/>
                <w:kern w:val="0"/>
                <w:sz w:val="24"/>
                <w:szCs w:val="24"/>
                <w:lang w:val="en-US" w:eastAsia="zh-CN"/>
              </w:rPr>
              <w:t>0</w:t>
            </w:r>
          </w:p>
        </w:tc>
        <w:tc>
          <w:tcPr>
            <w:tcW w:w="92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Calibri" w:hAnsi="Calibri" w:eastAsia="宋体" w:cs="Calibri"/>
                <w:kern w:val="0"/>
                <w:sz w:val="20"/>
                <w:szCs w:val="20"/>
              </w:rPr>
            </w:pPr>
            <w:r>
              <w:rPr>
                <w:rFonts w:hint="eastAsia" w:ascii="宋体" w:hAnsi="宋体" w:eastAsia="宋体" w:cs="宋体"/>
                <w:kern w:val="0"/>
                <w:sz w:val="24"/>
                <w:szCs w:val="24"/>
                <w:lang w:val="en-US" w:eastAsia="zh-CN"/>
              </w:rPr>
              <w:t>0</w:t>
            </w:r>
          </w:p>
        </w:tc>
        <w:tc>
          <w:tcPr>
            <w:tcW w:w="86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Calibri" w:hAnsi="Calibri" w:eastAsia="宋体" w:cs="Calibri"/>
                <w:kern w:val="0"/>
                <w:sz w:val="20"/>
                <w:szCs w:val="20"/>
              </w:rPr>
            </w:pPr>
            <w:r>
              <w:rPr>
                <w:rFonts w:hint="eastAsia" w:ascii="宋体" w:hAnsi="宋体" w:eastAsia="宋体" w:cs="宋体"/>
                <w:kern w:val="0"/>
                <w:sz w:val="24"/>
                <w:szCs w:val="24"/>
                <w:lang w:val="en-US" w:eastAsia="zh-CN"/>
              </w:rPr>
              <w:t>0</w:t>
            </w:r>
          </w:p>
        </w:tc>
        <w:tc>
          <w:tcPr>
            <w:tcW w:w="71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Calibri" w:hAnsi="Calibri" w:eastAsia="宋体" w:cs="Calibri"/>
                <w:kern w:val="0"/>
                <w:sz w:val="20"/>
                <w:szCs w:val="20"/>
              </w:rPr>
            </w:pPr>
            <w:r>
              <w:rPr>
                <w:rFonts w:hint="eastAsia" w:ascii="宋体" w:hAnsi="宋体" w:eastAsia="宋体" w:cs="宋体"/>
                <w:kern w:val="0"/>
                <w:sz w:val="24"/>
                <w:szCs w:val="24"/>
                <w:lang w:val="en-US" w:eastAsia="zh-CN"/>
              </w:rPr>
              <w:t>0</w:t>
            </w:r>
          </w:p>
        </w:tc>
        <w:tc>
          <w:tcPr>
            <w:tcW w:w="69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Calibri" w:hAnsi="Calibri" w:eastAsia="宋体" w:cs="Calibri"/>
                <w:kern w:val="0"/>
                <w:sz w:val="20"/>
                <w:szCs w:val="20"/>
              </w:rPr>
            </w:pPr>
            <w:r>
              <w:rPr>
                <w:rFonts w:hint="eastAsia" w:ascii="宋体" w:hAnsi="宋体" w:eastAsia="宋体" w:cs="宋体"/>
                <w:kern w:val="0"/>
                <w:sz w:val="24"/>
                <w:szCs w:val="24"/>
                <w:lang w:val="en-US" w:eastAsia="zh-CN"/>
              </w:rPr>
              <w:t>0</w:t>
            </w:r>
          </w:p>
        </w:tc>
      </w:tr>
      <w:tr>
        <w:tblPrEx>
          <w:tblCellMar>
            <w:top w:w="0" w:type="dxa"/>
            <w:left w:w="0" w:type="dxa"/>
            <w:bottom w:w="0" w:type="dxa"/>
            <w:right w:w="0" w:type="dxa"/>
          </w:tblCellMar>
        </w:tblPrEx>
        <w:trPr>
          <w:trHeight w:val="522" w:hRule="atLeast"/>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854" w:type="dxa"/>
            <w:vMerge w:val="restart"/>
            <w:tcBorders>
              <w:top w:val="nil"/>
              <w:left w:val="nil"/>
              <w:right w:val="single" w:color="auto" w:sz="8" w:space="0"/>
            </w:tcBorders>
            <w:tcMar>
              <w:top w:w="0" w:type="dxa"/>
              <w:left w:w="108" w:type="dxa"/>
              <w:bottom w:w="0" w:type="dxa"/>
              <w:right w:w="108" w:type="dxa"/>
            </w:tcMar>
            <w:vAlign w:val="center"/>
          </w:tcPr>
          <w:p>
            <w:pPr>
              <w:widowControl/>
              <w:jc w:val="left"/>
              <w:rPr>
                <w:rFonts w:ascii="宋体" w:hAnsi="宋体" w:eastAsia="宋体" w:cs="宋体"/>
                <w:kern w:val="0"/>
                <w:sz w:val="24"/>
                <w:szCs w:val="24"/>
              </w:rPr>
            </w:pPr>
            <w:r>
              <w:rPr>
                <w:rFonts w:hint="eastAsia" w:ascii="宋体" w:hAnsi="宋体" w:eastAsia="宋体" w:cs="宋体"/>
                <w:kern w:val="0"/>
                <w:sz w:val="20"/>
                <w:szCs w:val="20"/>
              </w:rPr>
              <w:t>（六）其他处理</w:t>
            </w:r>
          </w:p>
        </w:tc>
        <w:tc>
          <w:tcPr>
            <w:tcW w:w="221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1.申请人无正当理由逾期不补正、行政机关不再处理其政府信息公开申请</w:t>
            </w:r>
          </w:p>
        </w:tc>
        <w:tc>
          <w:tcPr>
            <w:tcW w:w="683"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92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86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71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69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r>
      <w:tr>
        <w:tblPrEx>
          <w:tblCellMar>
            <w:top w:w="0" w:type="dxa"/>
            <w:left w:w="0" w:type="dxa"/>
            <w:bottom w:w="0" w:type="dxa"/>
            <w:right w:w="0" w:type="dxa"/>
          </w:tblCellMar>
        </w:tblPrEx>
        <w:trPr>
          <w:trHeight w:val="522" w:hRule="atLeast"/>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854" w:type="dxa"/>
            <w:vMerge w:val="continue"/>
            <w:tcBorders>
              <w:left w:val="nil"/>
              <w:right w:val="single" w:color="auto" w:sz="8" w:space="0"/>
            </w:tcBorders>
            <w:tcMar>
              <w:top w:w="0" w:type="dxa"/>
              <w:left w:w="108" w:type="dxa"/>
              <w:bottom w:w="0" w:type="dxa"/>
              <w:right w:w="108" w:type="dxa"/>
            </w:tcMar>
            <w:vAlign w:val="center"/>
          </w:tcPr>
          <w:p>
            <w:pPr>
              <w:widowControl/>
              <w:jc w:val="left"/>
              <w:rPr>
                <w:rFonts w:ascii="宋体" w:hAnsi="宋体" w:eastAsia="宋体" w:cs="宋体"/>
                <w:kern w:val="0"/>
                <w:sz w:val="20"/>
                <w:szCs w:val="20"/>
              </w:rPr>
            </w:pPr>
          </w:p>
        </w:tc>
        <w:tc>
          <w:tcPr>
            <w:tcW w:w="221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2.申请人逾期未按收费通知要求缴纳费用、行政机关不再处理其政府信息公开申请</w:t>
            </w:r>
          </w:p>
        </w:tc>
        <w:tc>
          <w:tcPr>
            <w:tcW w:w="683"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92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86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71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69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r>
      <w:tr>
        <w:tblPrEx>
          <w:tblCellMar>
            <w:top w:w="0" w:type="dxa"/>
            <w:left w:w="0" w:type="dxa"/>
            <w:bottom w:w="0" w:type="dxa"/>
            <w:right w:w="0" w:type="dxa"/>
          </w:tblCellMar>
        </w:tblPrEx>
        <w:trPr>
          <w:trHeight w:val="522" w:hRule="atLeast"/>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854" w:type="dxa"/>
            <w:vMerge w:val="continue"/>
            <w:tcBorders>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宋体" w:hAnsi="宋体" w:eastAsia="宋体" w:cs="宋体"/>
                <w:kern w:val="0"/>
                <w:sz w:val="20"/>
                <w:szCs w:val="20"/>
              </w:rPr>
            </w:pPr>
          </w:p>
        </w:tc>
        <w:tc>
          <w:tcPr>
            <w:tcW w:w="221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3.其他</w:t>
            </w:r>
          </w:p>
        </w:tc>
        <w:tc>
          <w:tcPr>
            <w:tcW w:w="683"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宋体" w:hAnsi="宋体" w:eastAsia="宋体" w:cs="宋体"/>
                <w:kern w:val="0"/>
                <w:sz w:val="24"/>
                <w:szCs w:val="24"/>
                <w:lang w:val="en-US"/>
              </w:rPr>
            </w:pPr>
            <w:r>
              <w:rPr>
                <w:rFonts w:hint="eastAsia" w:ascii="宋体" w:hAnsi="宋体" w:eastAsia="宋体" w:cs="宋体"/>
                <w:kern w:val="0"/>
                <w:sz w:val="24"/>
                <w:szCs w:val="24"/>
                <w:lang w:val="en-US" w:eastAsia="zh-CN"/>
              </w:rPr>
              <w:t>0</w:t>
            </w:r>
          </w:p>
        </w:tc>
        <w:tc>
          <w:tcPr>
            <w:tcW w:w="92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宋体" w:hAnsi="宋体" w:eastAsia="宋体" w:cs="宋体"/>
                <w:kern w:val="0"/>
                <w:sz w:val="24"/>
                <w:szCs w:val="24"/>
                <w:lang w:val="en-US"/>
              </w:rPr>
            </w:pPr>
            <w:r>
              <w:rPr>
                <w:rFonts w:hint="eastAsia" w:ascii="宋体" w:hAnsi="宋体" w:eastAsia="宋体" w:cs="宋体"/>
                <w:kern w:val="0"/>
                <w:sz w:val="24"/>
                <w:szCs w:val="24"/>
                <w:lang w:val="en-US" w:eastAsia="zh-CN"/>
              </w:rPr>
              <w:t>0</w:t>
            </w:r>
          </w:p>
        </w:tc>
        <w:tc>
          <w:tcPr>
            <w:tcW w:w="86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宋体" w:hAnsi="宋体" w:eastAsia="宋体" w:cs="宋体"/>
                <w:kern w:val="0"/>
                <w:sz w:val="24"/>
                <w:szCs w:val="24"/>
                <w:lang w:val="en-US"/>
              </w:rPr>
            </w:pPr>
            <w:r>
              <w:rPr>
                <w:rFonts w:hint="eastAsia" w:ascii="宋体" w:hAnsi="宋体" w:eastAsia="宋体" w:cs="宋体"/>
                <w:kern w:val="0"/>
                <w:sz w:val="24"/>
                <w:szCs w:val="24"/>
                <w:lang w:val="en-US" w:eastAsia="zh-CN"/>
              </w:rPr>
              <w:t>0</w:t>
            </w:r>
          </w:p>
        </w:tc>
        <w:tc>
          <w:tcPr>
            <w:tcW w:w="71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宋体" w:hAnsi="宋体" w:eastAsia="宋体" w:cs="宋体"/>
                <w:kern w:val="0"/>
                <w:sz w:val="24"/>
                <w:szCs w:val="24"/>
                <w:lang w:val="en-US"/>
              </w:rPr>
            </w:pPr>
            <w:r>
              <w:rPr>
                <w:rFonts w:hint="eastAsia" w:ascii="宋体" w:hAnsi="宋体" w:eastAsia="宋体" w:cs="宋体"/>
                <w:kern w:val="0"/>
                <w:sz w:val="24"/>
                <w:szCs w:val="24"/>
                <w:lang w:val="en-US" w:eastAsia="zh-CN"/>
              </w:rPr>
              <w:t>0</w:t>
            </w:r>
          </w:p>
        </w:tc>
        <w:tc>
          <w:tcPr>
            <w:tcW w:w="69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r>
      <w:tr>
        <w:tblPrEx>
          <w:tblCellMar>
            <w:top w:w="0" w:type="dxa"/>
            <w:left w:w="0" w:type="dxa"/>
            <w:bottom w:w="0" w:type="dxa"/>
            <w:right w:w="0" w:type="dxa"/>
          </w:tblCellMar>
        </w:tblPrEx>
        <w:trPr>
          <w:trHeight w:val="544" w:hRule="atLeast"/>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3070"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宋体" w:hAnsi="宋体" w:eastAsia="宋体" w:cs="宋体"/>
                <w:kern w:val="0"/>
                <w:sz w:val="24"/>
                <w:szCs w:val="24"/>
              </w:rPr>
            </w:pPr>
            <w:r>
              <w:rPr>
                <w:rFonts w:hint="eastAsia" w:ascii="宋体" w:hAnsi="宋体" w:eastAsia="宋体" w:cs="宋体"/>
                <w:kern w:val="0"/>
                <w:sz w:val="20"/>
                <w:szCs w:val="20"/>
              </w:rPr>
              <w:t>（七）总计</w:t>
            </w:r>
          </w:p>
        </w:tc>
        <w:tc>
          <w:tcPr>
            <w:tcW w:w="683"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Theme="minorEastAsia" w:hAnsiTheme="minorEastAsia" w:eastAsiaTheme="minorEastAsia" w:cstheme="minorEastAsia"/>
                <w:kern w:val="0"/>
                <w:sz w:val="24"/>
                <w:szCs w:val="24"/>
                <w:lang w:val="en-US" w:eastAsia="zh-CN"/>
              </w:rPr>
            </w:pPr>
            <w:r>
              <w:rPr>
                <w:rFonts w:hint="eastAsia" w:asciiTheme="minorEastAsia" w:hAnsiTheme="minorEastAsia" w:cstheme="minorEastAsia"/>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cstheme="minorEastAsia"/>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Theme="minorEastAsia" w:hAnsiTheme="minorEastAsia" w:eastAsiaTheme="minorEastAsia" w:cstheme="minorEastAsia"/>
                <w:kern w:val="0"/>
                <w:sz w:val="24"/>
                <w:szCs w:val="24"/>
              </w:rPr>
            </w:pPr>
            <w:r>
              <w:rPr>
                <w:rFonts w:hint="eastAsia" w:ascii="宋体" w:hAnsi="宋体" w:eastAsia="宋体" w:cs="宋体"/>
                <w:kern w:val="0"/>
                <w:sz w:val="24"/>
                <w:szCs w:val="24"/>
                <w:lang w:val="en-US" w:eastAsia="zh-CN"/>
              </w:rPr>
              <w:t>0</w:t>
            </w:r>
          </w:p>
        </w:tc>
        <w:tc>
          <w:tcPr>
            <w:tcW w:w="92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Theme="minorEastAsia" w:hAnsiTheme="minorEastAsia" w:eastAsiaTheme="minorEastAsia" w:cstheme="minorEastAsia"/>
                <w:kern w:val="0"/>
                <w:sz w:val="24"/>
                <w:szCs w:val="24"/>
              </w:rPr>
            </w:pPr>
            <w:r>
              <w:rPr>
                <w:rFonts w:hint="eastAsia" w:ascii="宋体" w:hAnsi="宋体" w:eastAsia="宋体" w:cs="宋体"/>
                <w:kern w:val="0"/>
                <w:sz w:val="24"/>
                <w:szCs w:val="24"/>
                <w:lang w:val="en-US" w:eastAsia="zh-CN"/>
              </w:rPr>
              <w:t>0</w:t>
            </w:r>
          </w:p>
        </w:tc>
        <w:tc>
          <w:tcPr>
            <w:tcW w:w="86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Theme="minorEastAsia" w:hAnsiTheme="minorEastAsia" w:eastAsiaTheme="minorEastAsia" w:cstheme="minorEastAsia"/>
                <w:kern w:val="0"/>
                <w:sz w:val="24"/>
                <w:szCs w:val="24"/>
              </w:rPr>
            </w:pPr>
            <w:r>
              <w:rPr>
                <w:rFonts w:hint="eastAsia" w:ascii="宋体" w:hAnsi="宋体" w:eastAsia="宋体" w:cs="宋体"/>
                <w:kern w:val="0"/>
                <w:sz w:val="24"/>
                <w:szCs w:val="24"/>
                <w:lang w:val="en-US" w:eastAsia="zh-CN"/>
              </w:rPr>
              <w:t>0</w:t>
            </w:r>
          </w:p>
        </w:tc>
        <w:tc>
          <w:tcPr>
            <w:tcW w:w="71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Theme="minorEastAsia" w:hAnsiTheme="minorEastAsia" w:eastAsiaTheme="minorEastAsia" w:cstheme="minorEastAsia"/>
                <w:kern w:val="0"/>
                <w:sz w:val="24"/>
                <w:szCs w:val="24"/>
              </w:rPr>
            </w:pPr>
            <w:r>
              <w:rPr>
                <w:rFonts w:hint="eastAsia" w:ascii="宋体" w:hAnsi="宋体" w:eastAsia="宋体" w:cs="宋体"/>
                <w:kern w:val="0"/>
                <w:sz w:val="24"/>
                <w:szCs w:val="24"/>
                <w:lang w:val="en-US" w:eastAsia="zh-CN"/>
              </w:rPr>
              <w:t>0</w:t>
            </w:r>
          </w:p>
        </w:tc>
        <w:tc>
          <w:tcPr>
            <w:tcW w:w="69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Theme="minorEastAsia" w:hAnsiTheme="minorEastAsia" w:eastAsiaTheme="minorEastAsia" w:cstheme="minorEastAsia"/>
                <w:kern w:val="0"/>
                <w:sz w:val="24"/>
                <w:szCs w:val="24"/>
                <w:lang w:val="en-US" w:eastAsia="zh-CN"/>
              </w:rPr>
            </w:pPr>
            <w:r>
              <w:rPr>
                <w:rFonts w:hint="eastAsia" w:asciiTheme="minorEastAsia" w:hAnsiTheme="minorEastAsia" w:cstheme="minorEastAsia"/>
                <w:kern w:val="0"/>
                <w:sz w:val="24"/>
                <w:szCs w:val="24"/>
                <w:lang w:val="en-US" w:eastAsia="zh-CN"/>
              </w:rPr>
              <w:t>0</w:t>
            </w:r>
          </w:p>
        </w:tc>
      </w:tr>
      <w:tr>
        <w:tblPrEx>
          <w:tblCellMar>
            <w:top w:w="0" w:type="dxa"/>
            <w:left w:w="0" w:type="dxa"/>
            <w:bottom w:w="0" w:type="dxa"/>
            <w:right w:w="0" w:type="dxa"/>
          </w:tblCellMar>
        </w:tblPrEx>
        <w:trPr>
          <w:trHeight w:val="650" w:hRule="atLeast"/>
          <w:jc w:val="center"/>
        </w:trPr>
        <w:tc>
          <w:tcPr>
            <w:tcW w:w="3687" w:type="dxa"/>
            <w:gridSpan w:val="3"/>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left"/>
              <w:rPr>
                <w:rFonts w:ascii="宋体" w:hAnsi="宋体" w:eastAsia="宋体" w:cs="宋体"/>
                <w:kern w:val="0"/>
                <w:sz w:val="24"/>
                <w:szCs w:val="24"/>
              </w:rPr>
            </w:pPr>
            <w:r>
              <w:rPr>
                <w:rFonts w:hint="eastAsia" w:ascii="宋体" w:hAnsi="宋体" w:eastAsia="宋体" w:cs="宋体"/>
                <w:kern w:val="0"/>
                <w:sz w:val="20"/>
                <w:szCs w:val="20"/>
              </w:rPr>
              <w:t>四、结转下年度继续办理</w:t>
            </w:r>
          </w:p>
        </w:tc>
        <w:tc>
          <w:tcPr>
            <w:tcW w:w="683"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Theme="minorEastAsia" w:hAnsiTheme="minorEastAsia" w:eastAsiaTheme="minorEastAsia" w:cstheme="minorEastAsia"/>
                <w:kern w:val="0"/>
                <w:sz w:val="24"/>
                <w:szCs w:val="24"/>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Theme="minorEastAsia" w:hAnsiTheme="minorEastAsia" w:eastAsiaTheme="minorEastAsia" w:cstheme="minorEastAsia"/>
                <w:kern w:val="0"/>
                <w:sz w:val="24"/>
                <w:szCs w:val="24"/>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Theme="minorEastAsia" w:hAnsiTheme="minorEastAsia" w:eastAsiaTheme="minorEastAsia" w:cstheme="minorEastAsia"/>
                <w:kern w:val="0"/>
                <w:sz w:val="24"/>
                <w:szCs w:val="24"/>
              </w:rPr>
            </w:pPr>
            <w:r>
              <w:rPr>
                <w:rFonts w:hint="eastAsia" w:ascii="宋体" w:hAnsi="宋体" w:eastAsia="宋体" w:cs="宋体"/>
                <w:kern w:val="0"/>
                <w:sz w:val="24"/>
                <w:szCs w:val="24"/>
                <w:lang w:val="en-US" w:eastAsia="zh-CN"/>
              </w:rPr>
              <w:t>0</w:t>
            </w:r>
          </w:p>
        </w:tc>
        <w:tc>
          <w:tcPr>
            <w:tcW w:w="92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Theme="minorEastAsia" w:hAnsiTheme="minorEastAsia" w:eastAsiaTheme="minorEastAsia" w:cstheme="minorEastAsia"/>
                <w:kern w:val="0"/>
                <w:sz w:val="24"/>
                <w:szCs w:val="24"/>
              </w:rPr>
            </w:pPr>
            <w:r>
              <w:rPr>
                <w:rFonts w:hint="eastAsia" w:ascii="宋体" w:hAnsi="宋体" w:eastAsia="宋体" w:cs="宋体"/>
                <w:kern w:val="0"/>
                <w:sz w:val="24"/>
                <w:szCs w:val="24"/>
                <w:lang w:val="en-US" w:eastAsia="zh-CN"/>
              </w:rPr>
              <w:t>0</w:t>
            </w:r>
          </w:p>
        </w:tc>
        <w:tc>
          <w:tcPr>
            <w:tcW w:w="86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Theme="minorEastAsia" w:hAnsiTheme="minorEastAsia" w:eastAsiaTheme="minorEastAsia" w:cstheme="minorEastAsia"/>
                <w:kern w:val="0"/>
                <w:sz w:val="24"/>
                <w:szCs w:val="24"/>
              </w:rPr>
            </w:pPr>
            <w:r>
              <w:rPr>
                <w:rFonts w:hint="eastAsia" w:ascii="宋体" w:hAnsi="宋体" w:eastAsia="宋体" w:cs="宋体"/>
                <w:kern w:val="0"/>
                <w:sz w:val="24"/>
                <w:szCs w:val="24"/>
                <w:lang w:val="en-US" w:eastAsia="zh-CN"/>
              </w:rPr>
              <w:t>0</w:t>
            </w:r>
          </w:p>
        </w:tc>
        <w:tc>
          <w:tcPr>
            <w:tcW w:w="71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Theme="minorEastAsia" w:hAnsiTheme="minorEastAsia" w:eastAsiaTheme="minorEastAsia" w:cstheme="minorEastAsia"/>
                <w:kern w:val="0"/>
                <w:sz w:val="24"/>
                <w:szCs w:val="24"/>
              </w:rPr>
            </w:pPr>
            <w:r>
              <w:rPr>
                <w:rFonts w:hint="eastAsia" w:ascii="宋体" w:hAnsi="宋体" w:eastAsia="宋体" w:cs="宋体"/>
                <w:kern w:val="0"/>
                <w:sz w:val="24"/>
                <w:szCs w:val="24"/>
                <w:lang w:val="en-US" w:eastAsia="zh-CN"/>
              </w:rPr>
              <w:t>0</w:t>
            </w:r>
          </w:p>
        </w:tc>
        <w:tc>
          <w:tcPr>
            <w:tcW w:w="69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Theme="minorEastAsia" w:hAnsiTheme="minorEastAsia" w:eastAsiaTheme="minorEastAsia" w:cstheme="minorEastAsia"/>
                <w:kern w:val="0"/>
                <w:sz w:val="24"/>
                <w:szCs w:val="24"/>
              </w:rPr>
            </w:pPr>
            <w:r>
              <w:rPr>
                <w:rFonts w:hint="eastAsia" w:ascii="宋体" w:hAnsi="宋体" w:eastAsia="宋体" w:cs="宋体"/>
                <w:kern w:val="0"/>
                <w:sz w:val="24"/>
                <w:szCs w:val="24"/>
                <w:lang w:val="en-US" w:eastAsia="zh-CN"/>
              </w:rPr>
              <w:t>0</w:t>
            </w:r>
          </w:p>
        </w:tc>
      </w:tr>
    </w:tbl>
    <w:p>
      <w:pPr>
        <w:numPr>
          <w:ilvl w:val="0"/>
          <w:numId w:val="0"/>
        </w:numPr>
        <w:rPr>
          <w:rFonts w:hint="eastAsia" w:ascii="宋体" w:hAnsi="宋体" w:eastAsia="宋体" w:cs="宋体"/>
          <w:b/>
          <w:bCs/>
          <w:sz w:val="24"/>
          <w:szCs w:val="24"/>
          <w:lang w:eastAsia="zh-CN"/>
        </w:rPr>
      </w:pPr>
    </w:p>
    <w:p>
      <w:pPr>
        <w:numPr>
          <w:ilvl w:val="0"/>
          <w:numId w:val="0"/>
        </w:numPr>
        <w:ind w:leftChars="0" w:firstLine="241" w:firstLineChars="100"/>
        <w:rPr>
          <w:rFonts w:hint="eastAsia" w:ascii="宋体" w:hAnsi="宋体" w:eastAsia="宋体" w:cs="宋体"/>
          <w:b/>
          <w:bCs/>
          <w:sz w:val="24"/>
          <w:szCs w:val="24"/>
        </w:rPr>
      </w:pPr>
      <w:r>
        <w:rPr>
          <w:rFonts w:hint="eastAsia" w:ascii="宋体" w:hAnsi="宋体" w:eastAsia="宋体" w:cs="宋体"/>
          <w:b/>
          <w:bCs/>
          <w:sz w:val="24"/>
          <w:szCs w:val="24"/>
          <w:lang w:val="en-US" w:eastAsia="zh-CN"/>
        </w:rPr>
        <w:t xml:space="preserve"> 四、</w:t>
      </w:r>
      <w:r>
        <w:rPr>
          <w:rFonts w:hint="eastAsia" w:ascii="宋体" w:hAnsi="宋体" w:eastAsia="宋体" w:cs="宋体"/>
          <w:b/>
          <w:bCs/>
          <w:sz w:val="24"/>
          <w:szCs w:val="24"/>
        </w:rPr>
        <w:t>政府信息公开行政复议、行政诉讼情况</w:t>
      </w:r>
    </w:p>
    <w:p>
      <w:pPr>
        <w:numPr>
          <w:ilvl w:val="0"/>
          <w:numId w:val="0"/>
        </w:numPr>
        <w:ind w:leftChars="0"/>
        <w:rPr>
          <w:rFonts w:hint="eastAsia" w:ascii="宋体" w:hAnsi="宋体" w:eastAsia="宋体" w:cs="宋体"/>
          <w:b/>
          <w:bCs/>
          <w:sz w:val="24"/>
          <w:szCs w:val="24"/>
        </w:rPr>
      </w:pPr>
    </w:p>
    <w:tbl>
      <w:tblPr>
        <w:tblStyle w:val="6"/>
        <w:tblW w:w="9071" w:type="dxa"/>
        <w:jc w:val="center"/>
        <w:tblLayout w:type="autofit"/>
        <w:tblCellMar>
          <w:top w:w="0" w:type="dxa"/>
          <w:left w:w="0" w:type="dxa"/>
          <w:bottom w:w="0" w:type="dxa"/>
          <w:right w:w="0" w:type="dxa"/>
        </w:tblCellMar>
      </w:tblPr>
      <w:tblGrid>
        <w:gridCol w:w="604"/>
        <w:gridCol w:w="604"/>
        <w:gridCol w:w="604"/>
        <w:gridCol w:w="604"/>
        <w:gridCol w:w="658"/>
        <w:gridCol w:w="550"/>
        <w:gridCol w:w="605"/>
        <w:gridCol w:w="605"/>
        <w:gridCol w:w="605"/>
        <w:gridCol w:w="605"/>
        <w:gridCol w:w="605"/>
        <w:gridCol w:w="605"/>
        <w:gridCol w:w="605"/>
        <w:gridCol w:w="606"/>
        <w:gridCol w:w="606"/>
      </w:tblGrid>
      <w:tr>
        <w:tblPrEx>
          <w:tblCellMar>
            <w:top w:w="0" w:type="dxa"/>
            <w:left w:w="0" w:type="dxa"/>
            <w:bottom w:w="0" w:type="dxa"/>
            <w:right w:w="0" w:type="dxa"/>
          </w:tblCellMar>
        </w:tblPrEx>
        <w:trPr>
          <w:jc w:val="center"/>
        </w:trPr>
        <w:tc>
          <w:tcPr>
            <w:tcW w:w="3074" w:type="dxa"/>
            <w:gridSpan w:val="5"/>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0"/>
                <w:szCs w:val="20"/>
              </w:rPr>
              <w:t>行政复议</w:t>
            </w:r>
          </w:p>
        </w:tc>
        <w:tc>
          <w:tcPr>
            <w:tcW w:w="5997" w:type="dxa"/>
            <w:gridSpan w:val="10"/>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0"/>
                <w:szCs w:val="20"/>
              </w:rPr>
              <w:t>行政诉讼</w:t>
            </w:r>
          </w:p>
        </w:tc>
      </w:tr>
      <w:tr>
        <w:tblPrEx>
          <w:tblCellMar>
            <w:top w:w="0" w:type="dxa"/>
            <w:left w:w="0" w:type="dxa"/>
            <w:bottom w:w="0" w:type="dxa"/>
            <w:right w:w="0" w:type="dxa"/>
          </w:tblCellMar>
        </w:tblPrEx>
        <w:trPr>
          <w:jc w:val="center"/>
        </w:trPr>
        <w:tc>
          <w:tcPr>
            <w:tcW w:w="604" w:type="dxa"/>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0"/>
                <w:szCs w:val="20"/>
              </w:rPr>
              <w:t>结果维持</w:t>
            </w:r>
          </w:p>
        </w:tc>
        <w:tc>
          <w:tcPr>
            <w:tcW w:w="604" w:type="dxa"/>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0"/>
                <w:szCs w:val="20"/>
              </w:rPr>
              <w:t>结果纠正</w:t>
            </w:r>
          </w:p>
        </w:tc>
        <w:tc>
          <w:tcPr>
            <w:tcW w:w="604" w:type="dxa"/>
            <w:vMerge w:val="restart"/>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0"/>
                <w:szCs w:val="20"/>
              </w:rPr>
              <w:t>其他结果</w:t>
            </w:r>
          </w:p>
        </w:tc>
        <w:tc>
          <w:tcPr>
            <w:tcW w:w="604" w:type="dxa"/>
            <w:vMerge w:val="restart"/>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0"/>
                <w:szCs w:val="20"/>
              </w:rPr>
              <w:t>尚未审结</w:t>
            </w:r>
          </w:p>
        </w:tc>
        <w:tc>
          <w:tcPr>
            <w:tcW w:w="658" w:type="dxa"/>
            <w:vMerge w:val="restart"/>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0"/>
                <w:szCs w:val="20"/>
              </w:rPr>
              <w:t>总计</w:t>
            </w:r>
          </w:p>
        </w:tc>
        <w:tc>
          <w:tcPr>
            <w:tcW w:w="2970" w:type="dxa"/>
            <w:gridSpan w:val="5"/>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0"/>
                <w:szCs w:val="20"/>
              </w:rPr>
              <w:t>未经复议直接起诉</w:t>
            </w:r>
          </w:p>
        </w:tc>
        <w:tc>
          <w:tcPr>
            <w:tcW w:w="3027" w:type="dxa"/>
            <w:gridSpan w:val="5"/>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0"/>
                <w:szCs w:val="20"/>
              </w:rPr>
              <w:t>复议后起诉</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0" w:type="auto"/>
            <w:vMerge w:val="continue"/>
            <w:tcBorders>
              <w:top w:val="nil"/>
              <w:left w:val="nil"/>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0" w:type="auto"/>
            <w:vMerge w:val="continue"/>
            <w:tcBorders>
              <w:top w:val="single" w:color="auto" w:sz="8" w:space="0"/>
              <w:left w:val="nil"/>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0" w:type="auto"/>
            <w:vMerge w:val="continue"/>
            <w:tcBorders>
              <w:top w:val="single" w:color="auto" w:sz="8" w:space="0"/>
              <w:left w:val="nil"/>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0" w:type="auto"/>
            <w:vMerge w:val="continue"/>
            <w:tcBorders>
              <w:top w:val="single" w:color="auto" w:sz="8" w:space="0"/>
              <w:left w:val="nil"/>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55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0"/>
                <w:szCs w:val="20"/>
              </w:rPr>
              <w:t>结果维持</w:t>
            </w:r>
          </w:p>
        </w:tc>
        <w:tc>
          <w:tcPr>
            <w:tcW w:w="60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0"/>
                <w:szCs w:val="20"/>
              </w:rPr>
              <w:t>结果纠正</w:t>
            </w:r>
          </w:p>
        </w:tc>
        <w:tc>
          <w:tcPr>
            <w:tcW w:w="60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0"/>
                <w:szCs w:val="20"/>
              </w:rPr>
              <w:t>其他结果</w:t>
            </w:r>
          </w:p>
        </w:tc>
        <w:tc>
          <w:tcPr>
            <w:tcW w:w="60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0"/>
                <w:szCs w:val="20"/>
              </w:rPr>
              <w:t>尚未审结</w:t>
            </w:r>
          </w:p>
        </w:tc>
        <w:tc>
          <w:tcPr>
            <w:tcW w:w="60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总计</w:t>
            </w:r>
          </w:p>
        </w:tc>
        <w:tc>
          <w:tcPr>
            <w:tcW w:w="60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0"/>
                <w:szCs w:val="20"/>
              </w:rPr>
              <w:t>结果维持</w:t>
            </w:r>
          </w:p>
        </w:tc>
        <w:tc>
          <w:tcPr>
            <w:tcW w:w="60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0"/>
                <w:szCs w:val="20"/>
              </w:rPr>
              <w:t>结果纠正</w:t>
            </w:r>
          </w:p>
        </w:tc>
        <w:tc>
          <w:tcPr>
            <w:tcW w:w="60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其他结果</w:t>
            </w:r>
          </w:p>
        </w:tc>
        <w:tc>
          <w:tcPr>
            <w:tcW w:w="606"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0"/>
                <w:szCs w:val="20"/>
              </w:rPr>
              <w:t>尚未审结</w:t>
            </w:r>
          </w:p>
        </w:tc>
        <w:tc>
          <w:tcPr>
            <w:tcW w:w="606"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总计</w:t>
            </w:r>
          </w:p>
        </w:tc>
      </w:tr>
      <w:tr>
        <w:tblPrEx>
          <w:tblCellMar>
            <w:top w:w="0" w:type="dxa"/>
            <w:left w:w="0" w:type="dxa"/>
            <w:bottom w:w="0" w:type="dxa"/>
            <w:right w:w="0" w:type="dxa"/>
          </w:tblCellMar>
        </w:tblPrEx>
        <w:trPr>
          <w:trHeight w:val="696" w:hRule="atLeast"/>
          <w:jc w:val="center"/>
        </w:trPr>
        <w:tc>
          <w:tcPr>
            <w:tcW w:w="604"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60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60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60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65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55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60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60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60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60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60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60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60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60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60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0"/>
                <w:szCs w:val="20"/>
              </w:rPr>
            </w:pPr>
            <w:r>
              <w:rPr>
                <w:rFonts w:hint="eastAsia" w:ascii="宋体" w:hAnsi="宋体" w:eastAsia="宋体" w:cs="宋体"/>
                <w:kern w:val="0"/>
                <w:sz w:val="24"/>
                <w:szCs w:val="24"/>
                <w:lang w:val="en-US" w:eastAsia="zh-CN"/>
              </w:rPr>
              <w:t>0</w:t>
            </w:r>
          </w:p>
        </w:tc>
      </w:tr>
    </w:tbl>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hemeFill="background1"/>
        <w:kinsoku/>
        <w:wordWrap w:val="0"/>
        <w:overflowPunct/>
        <w:topLinePunct w:val="0"/>
        <w:autoSpaceDE/>
        <w:autoSpaceDN/>
        <w:bidi w:val="0"/>
        <w:adjustRightInd/>
        <w:snapToGrid/>
        <w:spacing w:before="0" w:beforeAutospacing="0" w:after="0" w:afterAutospacing="0" w:line="560" w:lineRule="exact"/>
        <w:ind w:left="0" w:right="0" w:firstLine="0"/>
        <w:jc w:val="left"/>
        <w:textAlignment w:val="auto"/>
        <w:rPr>
          <w:rFonts w:ascii="微软雅黑" w:hAnsi="微软雅黑" w:eastAsia="微软雅黑" w:cs="微软雅黑"/>
          <w:i w:val="0"/>
          <w:iCs w:val="0"/>
          <w:caps w:val="0"/>
          <w:color w:val="000000"/>
          <w:spacing w:val="0"/>
          <w:sz w:val="24"/>
          <w:szCs w:val="24"/>
        </w:rPr>
      </w:pPr>
      <w:r>
        <w:rPr>
          <w:rStyle w:val="8"/>
          <w:rFonts w:hint="eastAsia" w:ascii="微软雅黑" w:hAnsi="微软雅黑" w:eastAsia="微软雅黑" w:cs="微软雅黑"/>
          <w:i w:val="0"/>
          <w:iCs w:val="0"/>
          <w:caps w:val="0"/>
          <w:color w:val="000000"/>
          <w:spacing w:val="0"/>
          <w:kern w:val="0"/>
          <w:sz w:val="24"/>
          <w:szCs w:val="24"/>
          <w:shd w:val="clear" w:fill="FFFFFF"/>
          <w:lang w:val="en-US" w:eastAsia="zh-CN" w:bidi="ar"/>
        </w:rPr>
        <w:t>　</w:t>
      </w:r>
      <w:r>
        <w:rPr>
          <w:rStyle w:val="8"/>
          <w:rFonts w:hint="eastAsia" w:ascii="宋体" w:hAnsi="宋体" w:eastAsia="宋体" w:cs="宋体"/>
          <w:i w:val="0"/>
          <w:iCs w:val="0"/>
          <w:caps w:val="0"/>
          <w:color w:val="000000"/>
          <w:spacing w:val="0"/>
          <w:kern w:val="0"/>
          <w:sz w:val="24"/>
          <w:szCs w:val="24"/>
          <w:shd w:val="clear" w:fill="FFFFFF"/>
          <w:lang w:val="en-US" w:eastAsia="zh-CN" w:bidi="ar"/>
        </w:rPr>
        <w:t>五、存在的主要问题及改进情况</w:t>
      </w:r>
    </w:p>
    <w:p>
      <w:pPr>
        <w:ind w:firstLine="480" w:firstLineChars="200"/>
        <w:rPr>
          <w:rFonts w:hint="eastAsia" w:ascii="仿宋" w:hAnsi="仿宋" w:eastAsia="仿宋" w:cs="仿宋"/>
          <w:sz w:val="24"/>
          <w:szCs w:val="24"/>
        </w:rPr>
      </w:pPr>
      <w:r>
        <w:rPr>
          <w:rFonts w:hint="eastAsia" w:ascii="微软雅黑" w:hAnsi="微软雅黑" w:eastAsia="微软雅黑" w:cs="微软雅黑"/>
          <w:i w:val="0"/>
          <w:iCs w:val="0"/>
          <w:caps w:val="0"/>
          <w:color w:val="000000"/>
          <w:spacing w:val="0"/>
          <w:kern w:val="0"/>
          <w:sz w:val="24"/>
          <w:szCs w:val="24"/>
          <w:shd w:val="clear" w:fill="FFFFFF"/>
          <w:lang w:val="en-US" w:eastAsia="zh-CN" w:bidi="ar"/>
        </w:rPr>
        <w:t>　</w:t>
      </w:r>
      <w:r>
        <w:rPr>
          <w:rFonts w:hint="eastAsia" w:ascii="宋体" w:hAnsi="宋体" w:eastAsia="宋体" w:cs="宋体"/>
          <w:sz w:val="24"/>
          <w:szCs w:val="24"/>
        </w:rPr>
        <w:t>政府信息公开是一项牵涉方方面面的具体工作，是政策性、技术性、可操作性都很强的、严谨的系统工程。针对存在的问题，</w:t>
      </w:r>
      <w:r>
        <w:rPr>
          <w:rFonts w:hint="eastAsia" w:ascii="宋体" w:hAnsi="宋体" w:eastAsia="宋体" w:cs="宋体"/>
          <w:sz w:val="24"/>
          <w:szCs w:val="24"/>
          <w:lang w:val="en-US" w:eastAsia="zh-CN"/>
        </w:rPr>
        <w:t>2022</w:t>
      </w:r>
      <w:r>
        <w:rPr>
          <w:rFonts w:hint="eastAsia" w:ascii="宋体" w:hAnsi="宋体" w:eastAsia="宋体" w:cs="宋体"/>
          <w:sz w:val="24"/>
          <w:szCs w:val="24"/>
        </w:rPr>
        <w:t>年</w:t>
      </w:r>
      <w:r>
        <w:rPr>
          <w:rFonts w:hint="eastAsia" w:ascii="宋体" w:hAnsi="宋体" w:eastAsia="宋体" w:cs="宋体"/>
          <w:sz w:val="24"/>
          <w:szCs w:val="24"/>
          <w:lang w:eastAsia="zh-CN"/>
        </w:rPr>
        <w:t>台上镇</w:t>
      </w:r>
      <w:r>
        <w:rPr>
          <w:rFonts w:hint="eastAsia" w:ascii="宋体" w:hAnsi="宋体" w:eastAsia="宋体" w:cs="宋体"/>
          <w:sz w:val="24"/>
          <w:szCs w:val="24"/>
        </w:rPr>
        <w:t>将加大工作力度，采取切实有效的措施，扎实做好政府信息公开工作，确保信息公开工作有新的突破。一是强化思想认识。加强对《政府信息公开条例》和省、市、县有关文件的学习，增强工作的主动性和责任意识，准确把握政策要求，做到该公开的及时公开，不该公开的要做好保密工作。二是强化责任落实。及时有效地收集、报送信息，充实信息来源，丰富信息内容，确保应公开信息全部及时、准确地得以公开，不断增强信息量并提高时效性，增强公开效果。三是强化信息内容。按照“公开是原则，不公开是例外”的要求，加大公开力度，不断拓展和丰富政府信息公开内容，进一步完善相关制度和程序，规范</w:t>
      </w:r>
      <w:r>
        <w:rPr>
          <w:rFonts w:hint="eastAsia" w:ascii="宋体" w:hAnsi="宋体" w:eastAsia="宋体" w:cs="宋体"/>
          <w:sz w:val="24"/>
          <w:szCs w:val="24"/>
          <w:lang w:eastAsia="zh-CN"/>
        </w:rPr>
        <w:t>台上镇</w:t>
      </w:r>
      <w:r>
        <w:rPr>
          <w:rFonts w:hint="eastAsia" w:ascii="宋体" w:hAnsi="宋体" w:eastAsia="宋体" w:cs="宋体"/>
          <w:sz w:val="24"/>
          <w:szCs w:val="24"/>
        </w:rPr>
        <w:t>信息公开行为，不断提高信息公开工作水平。四是强化公开平台。多渠道多形式抓好载体建设，力求信息内容“丰富实用”，公开平台“形式多样”。在以政府信息公开为第一平台的同时，按照便民、实用、有效的原则，进一步抓好信息公开载体建设，发挥电视、报刊、公开栏、等载体在信息公开中的重要作用，及时、准确地发布各类政务信息，增强政务信息发布的针对性和权威性，提升工作的透明度，切实保障公民的知情权、参与权和监督</w:t>
      </w:r>
      <w:r>
        <w:rPr>
          <w:rFonts w:hint="eastAsia" w:ascii="宋体" w:hAnsi="宋体" w:eastAsia="宋体" w:cs="宋体"/>
          <w:sz w:val="24"/>
          <w:szCs w:val="24"/>
          <w:lang w:eastAsia="zh-CN"/>
        </w:rPr>
        <w:t>权。</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hemeFill="background1"/>
        <w:kinsoku/>
        <w:wordWrap w:val="0"/>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kern w:val="0"/>
          <w:sz w:val="24"/>
          <w:szCs w:val="24"/>
          <w:shd w:val="clear" w:fill="FFFFFF"/>
          <w:lang w:val="en-US" w:eastAsia="zh-CN" w:bidi="ar"/>
        </w:rPr>
        <w:t>　　</w:t>
      </w:r>
      <w:r>
        <w:rPr>
          <w:rStyle w:val="8"/>
          <w:rFonts w:hint="eastAsia" w:ascii="宋体" w:hAnsi="宋体" w:eastAsia="宋体" w:cs="宋体"/>
          <w:i w:val="0"/>
          <w:iCs w:val="0"/>
          <w:caps w:val="0"/>
          <w:color w:val="000000"/>
          <w:spacing w:val="0"/>
          <w:kern w:val="0"/>
          <w:sz w:val="24"/>
          <w:szCs w:val="24"/>
          <w:shd w:val="clear" w:fill="FFFFFF"/>
          <w:lang w:val="en-US" w:eastAsia="zh-CN" w:bidi="ar"/>
        </w:rPr>
        <w:t>六、其他需要报告的事项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hemeFill="background1"/>
        <w:kinsoku/>
        <w:wordWrap w:val="0"/>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kern w:val="0"/>
          <w:sz w:val="24"/>
          <w:szCs w:val="24"/>
          <w:shd w:val="clear" w:fill="FFFFFF"/>
          <w:lang w:val="en-US" w:eastAsia="zh-CN" w:bidi="ar"/>
        </w:rPr>
        <w:t>　　</w:t>
      </w:r>
      <w:r>
        <w:rPr>
          <w:rFonts w:hint="eastAsia" w:ascii="宋体" w:hAnsi="宋体" w:eastAsia="宋体" w:cs="宋体"/>
          <w:i w:val="0"/>
          <w:iCs w:val="0"/>
          <w:caps w:val="0"/>
          <w:color w:val="000000"/>
          <w:spacing w:val="0"/>
          <w:kern w:val="0"/>
          <w:sz w:val="24"/>
          <w:szCs w:val="24"/>
          <w:shd w:val="clear" w:fill="FFFFFF"/>
          <w:lang w:val="en-US" w:eastAsia="zh-CN" w:bidi="ar"/>
        </w:rPr>
        <w:t>无。</w:t>
      </w:r>
    </w:p>
    <w:p>
      <w:pPr>
        <w:keepNext w:val="0"/>
        <w:keepLines w:val="0"/>
        <w:pageBreakBefore w:val="0"/>
        <w:shd w:val="clear" w:fill="FFFFFF" w:themeFill="background1"/>
        <w:kinsoku/>
        <w:overflowPunct/>
        <w:topLinePunct w:val="0"/>
        <w:autoSpaceDE/>
        <w:autoSpaceDN/>
        <w:bidi w:val="0"/>
        <w:adjustRightInd/>
        <w:snapToGrid/>
        <w:spacing w:line="560" w:lineRule="exact"/>
        <w:ind w:firstLine="480" w:firstLineChars="200"/>
        <w:textAlignment w:val="auto"/>
        <w:rPr>
          <w:rFonts w:ascii="宋体" w:hAnsi="宋体" w:eastAsia="宋体" w:cs="宋体"/>
          <w:sz w:val="24"/>
          <w:szCs w:val="24"/>
        </w:rPr>
      </w:pPr>
      <w:bookmarkStart w:id="0" w:name="_GoBack"/>
      <w:bookmarkEnd w:id="0"/>
    </w:p>
    <w:p>
      <w:pPr>
        <w:keepNext w:val="0"/>
        <w:keepLines w:val="0"/>
        <w:pageBreakBefore w:val="0"/>
        <w:shd w:val="clear" w:fill="FFFFFF" w:themeFill="background1"/>
        <w:kinsoku/>
        <w:overflowPunct/>
        <w:topLinePunct w:val="0"/>
        <w:autoSpaceDE/>
        <w:autoSpaceDN/>
        <w:bidi w:val="0"/>
        <w:adjustRightInd/>
        <w:snapToGrid/>
        <w:spacing w:line="560" w:lineRule="exact"/>
        <w:textAlignment w:val="auto"/>
        <w:rPr>
          <w:rFonts w:ascii="宋体" w:hAnsi="宋体" w:eastAsia="宋体" w:cs="宋体"/>
          <w:sz w:val="24"/>
          <w:szCs w:val="24"/>
        </w:rPr>
      </w:pPr>
    </w:p>
    <w:p>
      <w:pPr>
        <w:keepNext w:val="0"/>
        <w:keepLines w:val="0"/>
        <w:pageBreakBefore w:val="0"/>
        <w:shd w:val="clear" w:fill="FFFFFF" w:themeFill="background1"/>
        <w:kinsoku/>
        <w:overflowPunct/>
        <w:topLinePunct w:val="0"/>
        <w:autoSpaceDE/>
        <w:autoSpaceDN/>
        <w:bidi w:val="0"/>
        <w:adjustRightInd/>
        <w:snapToGrid/>
        <w:spacing w:line="560" w:lineRule="exact"/>
        <w:ind w:firstLine="480" w:firstLineChars="200"/>
        <w:textAlignment w:val="auto"/>
        <w:rPr>
          <w:rFonts w:ascii="宋体" w:hAnsi="宋体" w:eastAsia="宋体" w:cs="宋体"/>
          <w:sz w:val="24"/>
          <w:szCs w:val="24"/>
        </w:rPr>
      </w:pPr>
    </w:p>
    <w:p>
      <w:pPr>
        <w:keepNext w:val="0"/>
        <w:keepLines w:val="0"/>
        <w:pageBreakBefore w:val="0"/>
        <w:shd w:val="clear" w:fill="FFFFFF" w:themeFill="background1"/>
        <w:kinsoku/>
        <w:overflowPunct/>
        <w:topLinePunct w:val="0"/>
        <w:autoSpaceDE/>
        <w:autoSpaceDN/>
        <w:bidi w:val="0"/>
        <w:adjustRightInd/>
        <w:snapToGrid/>
        <w:spacing w:line="560" w:lineRule="exact"/>
        <w:ind w:firstLine="5280" w:firstLineChars="2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台上镇人民政府</w:t>
      </w:r>
    </w:p>
    <w:p>
      <w:pPr>
        <w:keepNext w:val="0"/>
        <w:keepLines w:val="0"/>
        <w:pageBreakBefore w:val="0"/>
        <w:shd w:val="clear" w:fill="FFFFFF" w:themeFill="background1"/>
        <w:kinsoku/>
        <w:overflowPunct/>
        <w:topLinePunct w:val="0"/>
        <w:autoSpaceDE/>
        <w:autoSpaceDN/>
        <w:bidi w:val="0"/>
        <w:adjustRightInd/>
        <w:snapToGrid/>
        <w:spacing w:line="560" w:lineRule="exact"/>
        <w:ind w:firstLine="5280" w:firstLineChars="2200"/>
        <w:textAlignment w:val="auto"/>
        <w:rPr>
          <w:rFonts w:hint="default" w:ascii="宋体" w:hAnsi="宋体" w:eastAsia="宋体" w:cs="宋体"/>
          <w:sz w:val="24"/>
          <w:szCs w:val="24"/>
          <w:lang w:val="en" w:eastAsia="zh-CN"/>
        </w:rPr>
      </w:pPr>
      <w:r>
        <w:rPr>
          <w:rFonts w:hint="eastAsia" w:ascii="宋体" w:hAnsi="宋体" w:eastAsia="宋体" w:cs="宋体"/>
          <w:sz w:val="24"/>
          <w:szCs w:val="24"/>
          <w:lang w:val="en-US" w:eastAsia="zh-CN"/>
        </w:rPr>
        <w:t>202</w:t>
      </w:r>
      <w:r>
        <w:rPr>
          <w:rFonts w:hint="default" w:ascii="宋体" w:hAnsi="宋体" w:eastAsia="宋体" w:cs="宋体"/>
          <w:sz w:val="24"/>
          <w:szCs w:val="24"/>
          <w:lang w:val="en" w:eastAsia="zh-CN"/>
        </w:rPr>
        <w:t>2</w:t>
      </w:r>
      <w:r>
        <w:rPr>
          <w:rFonts w:hint="eastAsia" w:ascii="宋体" w:hAnsi="宋体" w:eastAsia="宋体" w:cs="宋体"/>
          <w:sz w:val="24"/>
          <w:szCs w:val="24"/>
          <w:lang w:val="en-US" w:eastAsia="zh-CN"/>
        </w:rPr>
        <w:t>年12月30</w:t>
      </w:r>
      <w:r>
        <w:rPr>
          <w:rFonts w:hint="eastAsia" w:ascii="宋体" w:hAnsi="宋体" w:eastAsia="宋体" w:cs="宋体"/>
          <w:sz w:val="24"/>
          <w:szCs w:val="24"/>
          <w:lang w:val="en" w:eastAsia="zh-CN"/>
        </w:rPr>
        <w:t>日</w:t>
      </w:r>
    </w:p>
    <w:sectPr>
      <w:footerReference r:id="rId3" w:type="default"/>
      <w:pgSz w:w="11906" w:h="16838"/>
      <w:pgMar w:top="1440" w:right="1418" w:bottom="1134"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2000000000000000000"/>
    <w:charset w:val="86"/>
    <w:family w:val="auto"/>
    <w:pitch w:val="default"/>
    <w:sig w:usb0="00000000" w:usb1="00000000" w:usb2="00000012" w:usb3="00000000" w:csb0="00040001"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76919734"/>
    </w:sdtPr>
    <w:sdtContent>
      <w:p>
        <w:pPr>
          <w:pStyle w:val="4"/>
          <w:jc w:val="center"/>
        </w:pPr>
        <w:r>
          <w:fldChar w:fldCharType="begin"/>
        </w:r>
        <w:r>
          <w:instrText xml:space="preserve">PAGE   \* MERGEFORMAT</w:instrText>
        </w:r>
        <w:r>
          <w:fldChar w:fldCharType="separate"/>
        </w:r>
        <w:r>
          <w:rPr>
            <w:lang w:val="zh-CN"/>
          </w:rPr>
          <w:t>1</w:t>
        </w:r>
        <w:r>
          <w:fldChar w:fldCharType="end"/>
        </w:r>
      </w:p>
    </w:sdtContent>
  </w:sdt>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855DB7"/>
    <w:multiLevelType w:val="singleLevel"/>
    <w:tmpl w:val="54855DB7"/>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isplayBackgroundShape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kxNTU2NmIyNDAwZmYwZDFjZTM5MzhiMWQzYmJhNTEifQ=="/>
  </w:docVars>
  <w:rsids>
    <w:rsidRoot w:val="00EE4669"/>
    <w:rsid w:val="000429A0"/>
    <w:rsid w:val="00096DC5"/>
    <w:rsid w:val="000A26C7"/>
    <w:rsid w:val="000B03EF"/>
    <w:rsid w:val="000C1993"/>
    <w:rsid w:val="000C67C0"/>
    <w:rsid w:val="000E0C5E"/>
    <w:rsid w:val="000E192A"/>
    <w:rsid w:val="000F054B"/>
    <w:rsid w:val="000F6CBB"/>
    <w:rsid w:val="00114B99"/>
    <w:rsid w:val="00155746"/>
    <w:rsid w:val="00160AE1"/>
    <w:rsid w:val="00191C02"/>
    <w:rsid w:val="001D4047"/>
    <w:rsid w:val="002103ED"/>
    <w:rsid w:val="002139CE"/>
    <w:rsid w:val="00262B9B"/>
    <w:rsid w:val="00300E1E"/>
    <w:rsid w:val="00336CF7"/>
    <w:rsid w:val="0035451E"/>
    <w:rsid w:val="003D3B92"/>
    <w:rsid w:val="003E711E"/>
    <w:rsid w:val="00416D51"/>
    <w:rsid w:val="004253CE"/>
    <w:rsid w:val="004967D0"/>
    <w:rsid w:val="004D73DA"/>
    <w:rsid w:val="004E4B70"/>
    <w:rsid w:val="00504BDA"/>
    <w:rsid w:val="00515455"/>
    <w:rsid w:val="00585A9C"/>
    <w:rsid w:val="00594038"/>
    <w:rsid w:val="005C606B"/>
    <w:rsid w:val="005D128B"/>
    <w:rsid w:val="00634E91"/>
    <w:rsid w:val="00666084"/>
    <w:rsid w:val="00667371"/>
    <w:rsid w:val="007178F5"/>
    <w:rsid w:val="00732470"/>
    <w:rsid w:val="00782C19"/>
    <w:rsid w:val="007B17B1"/>
    <w:rsid w:val="007B5621"/>
    <w:rsid w:val="007B6DE2"/>
    <w:rsid w:val="0080399C"/>
    <w:rsid w:val="00822540"/>
    <w:rsid w:val="00831E99"/>
    <w:rsid w:val="00844529"/>
    <w:rsid w:val="0084463A"/>
    <w:rsid w:val="00864104"/>
    <w:rsid w:val="00866A45"/>
    <w:rsid w:val="00882FCE"/>
    <w:rsid w:val="00887377"/>
    <w:rsid w:val="008C4B26"/>
    <w:rsid w:val="00915401"/>
    <w:rsid w:val="00941A7B"/>
    <w:rsid w:val="009458D3"/>
    <w:rsid w:val="009601BA"/>
    <w:rsid w:val="009737BC"/>
    <w:rsid w:val="009E0E6F"/>
    <w:rsid w:val="00A04FB9"/>
    <w:rsid w:val="00A45231"/>
    <w:rsid w:val="00A7351A"/>
    <w:rsid w:val="00A76BD9"/>
    <w:rsid w:val="00AD6863"/>
    <w:rsid w:val="00B16D57"/>
    <w:rsid w:val="00B34B60"/>
    <w:rsid w:val="00B50AB5"/>
    <w:rsid w:val="00B751E4"/>
    <w:rsid w:val="00B83021"/>
    <w:rsid w:val="00B86BEF"/>
    <w:rsid w:val="00B93336"/>
    <w:rsid w:val="00BC6098"/>
    <w:rsid w:val="00C834FE"/>
    <w:rsid w:val="00CD1012"/>
    <w:rsid w:val="00CF3763"/>
    <w:rsid w:val="00D72931"/>
    <w:rsid w:val="00DC3320"/>
    <w:rsid w:val="00E05F91"/>
    <w:rsid w:val="00E1093B"/>
    <w:rsid w:val="00E1401D"/>
    <w:rsid w:val="00E40A4D"/>
    <w:rsid w:val="00E73B0E"/>
    <w:rsid w:val="00EA0B0A"/>
    <w:rsid w:val="00EB1AAF"/>
    <w:rsid w:val="00EB486F"/>
    <w:rsid w:val="00EC161F"/>
    <w:rsid w:val="00EC335E"/>
    <w:rsid w:val="00EE4669"/>
    <w:rsid w:val="00EE507F"/>
    <w:rsid w:val="00EF5CFE"/>
    <w:rsid w:val="00F46632"/>
    <w:rsid w:val="00F56DF8"/>
    <w:rsid w:val="00FF4EA9"/>
    <w:rsid w:val="01C74C41"/>
    <w:rsid w:val="021031C0"/>
    <w:rsid w:val="03615DE6"/>
    <w:rsid w:val="03B82026"/>
    <w:rsid w:val="04B70161"/>
    <w:rsid w:val="04CA15C6"/>
    <w:rsid w:val="066B708D"/>
    <w:rsid w:val="06A434A5"/>
    <w:rsid w:val="0A8C4462"/>
    <w:rsid w:val="0D1C7438"/>
    <w:rsid w:val="0ED62150"/>
    <w:rsid w:val="0EF95E3E"/>
    <w:rsid w:val="0F841BAC"/>
    <w:rsid w:val="10656D5B"/>
    <w:rsid w:val="10973B61"/>
    <w:rsid w:val="10D94ED9"/>
    <w:rsid w:val="10FB4E7B"/>
    <w:rsid w:val="11B5604C"/>
    <w:rsid w:val="11CA46E4"/>
    <w:rsid w:val="12AB7BEB"/>
    <w:rsid w:val="130A23C8"/>
    <w:rsid w:val="13916BB7"/>
    <w:rsid w:val="15D13671"/>
    <w:rsid w:val="16F67B0A"/>
    <w:rsid w:val="18DE0B8B"/>
    <w:rsid w:val="196F11D7"/>
    <w:rsid w:val="1ACE017F"/>
    <w:rsid w:val="1BC9643C"/>
    <w:rsid w:val="1D326A70"/>
    <w:rsid w:val="1EB06519"/>
    <w:rsid w:val="1F4E26E0"/>
    <w:rsid w:val="21463587"/>
    <w:rsid w:val="243F343F"/>
    <w:rsid w:val="24D97E4C"/>
    <w:rsid w:val="250E3F9A"/>
    <w:rsid w:val="296B1EA1"/>
    <w:rsid w:val="2AFE7BEA"/>
    <w:rsid w:val="2B25609B"/>
    <w:rsid w:val="2B5D3585"/>
    <w:rsid w:val="2BC71311"/>
    <w:rsid w:val="2D502C75"/>
    <w:rsid w:val="2DE41490"/>
    <w:rsid w:val="2F560859"/>
    <w:rsid w:val="30556CBA"/>
    <w:rsid w:val="306A22A0"/>
    <w:rsid w:val="31C902D1"/>
    <w:rsid w:val="345E7490"/>
    <w:rsid w:val="34707FB0"/>
    <w:rsid w:val="34B2334D"/>
    <w:rsid w:val="34CF6215"/>
    <w:rsid w:val="36317AE8"/>
    <w:rsid w:val="393E5745"/>
    <w:rsid w:val="39D2513E"/>
    <w:rsid w:val="3B291E3A"/>
    <w:rsid w:val="3B3951CF"/>
    <w:rsid w:val="3BA453BA"/>
    <w:rsid w:val="3DC31025"/>
    <w:rsid w:val="3DDFB0DA"/>
    <w:rsid w:val="3E620C74"/>
    <w:rsid w:val="3ED76D58"/>
    <w:rsid w:val="3EFD0EAF"/>
    <w:rsid w:val="3FD15E98"/>
    <w:rsid w:val="400E44FB"/>
    <w:rsid w:val="402B21A1"/>
    <w:rsid w:val="40E010C8"/>
    <w:rsid w:val="42750D5C"/>
    <w:rsid w:val="430B346F"/>
    <w:rsid w:val="44C82E67"/>
    <w:rsid w:val="450C3AC5"/>
    <w:rsid w:val="480F4C51"/>
    <w:rsid w:val="49181DCF"/>
    <w:rsid w:val="4A02676F"/>
    <w:rsid w:val="4B6B53F2"/>
    <w:rsid w:val="4BCC7E94"/>
    <w:rsid w:val="4D2E5D0E"/>
    <w:rsid w:val="51D907C9"/>
    <w:rsid w:val="52224331"/>
    <w:rsid w:val="524F43BC"/>
    <w:rsid w:val="568511B4"/>
    <w:rsid w:val="56B07488"/>
    <w:rsid w:val="57983F44"/>
    <w:rsid w:val="59EF9394"/>
    <w:rsid w:val="5B6E74B0"/>
    <w:rsid w:val="5B7C46CC"/>
    <w:rsid w:val="5D6A35FA"/>
    <w:rsid w:val="5E9B7945"/>
    <w:rsid w:val="5EFF6B38"/>
    <w:rsid w:val="608B5AEC"/>
    <w:rsid w:val="61382CF4"/>
    <w:rsid w:val="621719D8"/>
    <w:rsid w:val="62A95AB1"/>
    <w:rsid w:val="64F7344C"/>
    <w:rsid w:val="65D8018D"/>
    <w:rsid w:val="68865435"/>
    <w:rsid w:val="68EE3DB7"/>
    <w:rsid w:val="69912B2A"/>
    <w:rsid w:val="6D3557E5"/>
    <w:rsid w:val="6DA66DF4"/>
    <w:rsid w:val="6FB026B2"/>
    <w:rsid w:val="70E7254E"/>
    <w:rsid w:val="71917722"/>
    <w:rsid w:val="71CA4371"/>
    <w:rsid w:val="72544ACF"/>
    <w:rsid w:val="73381174"/>
    <w:rsid w:val="73FF456F"/>
    <w:rsid w:val="74484734"/>
    <w:rsid w:val="791D747D"/>
    <w:rsid w:val="792539DA"/>
    <w:rsid w:val="79F45D32"/>
    <w:rsid w:val="79F53FD4"/>
    <w:rsid w:val="7A984D7D"/>
    <w:rsid w:val="7BD5403F"/>
    <w:rsid w:val="7C6D071B"/>
    <w:rsid w:val="7D5102A0"/>
    <w:rsid w:val="7FB82F36"/>
    <w:rsid w:val="FFBC4A13"/>
    <w:rsid w:val="FFE95D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unhideWhenUsed/>
    <w:qFormat/>
    <w:uiPriority w:val="1"/>
    <w:pPr>
      <w:spacing w:beforeLines="0" w:afterLines="0"/>
    </w:pPr>
    <w:rPr>
      <w:rFonts w:hint="eastAsia"/>
      <w:sz w:val="29"/>
      <w:szCs w:val="24"/>
    </w:rPr>
  </w:style>
  <w:style w:type="paragraph" w:styleId="3">
    <w:name w:val="Balloon Text"/>
    <w:basedOn w:val="1"/>
    <w:link w:val="11"/>
    <w:semiHidden/>
    <w:unhideWhenUsed/>
    <w:qFormat/>
    <w:uiPriority w:val="99"/>
    <w:rPr>
      <w:sz w:val="18"/>
      <w:szCs w:val="18"/>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Strong"/>
    <w:basedOn w:val="7"/>
    <w:qFormat/>
    <w:uiPriority w:val="22"/>
    <w:rPr>
      <w:b/>
    </w:rPr>
  </w:style>
  <w:style w:type="character" w:customStyle="1" w:styleId="9">
    <w:name w:val="页眉 Char"/>
    <w:basedOn w:val="7"/>
    <w:link w:val="5"/>
    <w:qFormat/>
    <w:uiPriority w:val="99"/>
    <w:rPr>
      <w:sz w:val="18"/>
      <w:szCs w:val="18"/>
    </w:rPr>
  </w:style>
  <w:style w:type="character" w:customStyle="1" w:styleId="10">
    <w:name w:val="页脚 Char"/>
    <w:basedOn w:val="7"/>
    <w:link w:val="4"/>
    <w:qFormat/>
    <w:uiPriority w:val="99"/>
    <w:rPr>
      <w:sz w:val="18"/>
      <w:szCs w:val="18"/>
    </w:rPr>
  </w:style>
  <w:style w:type="character" w:customStyle="1" w:styleId="11">
    <w:name w:val="批注框文本 Char"/>
    <w:basedOn w:val="7"/>
    <w:link w:val="3"/>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2260</Words>
  <Characters>2316</Characters>
  <Lines>10</Lines>
  <Paragraphs>2</Paragraphs>
  <TotalTime>0</TotalTime>
  <ScaleCrop>false</ScaleCrop>
  <LinksUpToDate>false</LinksUpToDate>
  <CharactersWithSpaces>2325</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2021-01-10T14:07:00Z</dcterms:created>
  <dc:creator>lenovo</dc:creator>
  <cp:lastModifiedBy>설령</cp:lastModifiedBy>
  <cp:lastPrinted>2022-01-13T14:31:00Z</cp:lastPrinted>
  <dcterms:modified xsi:type="dcterms:W3CDTF">2023-02-27T07:26:12Z</dcterms:modified>
  <cp:revision>74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AC5C13B361314767914F24C17A21A249</vt:lpwstr>
  </property>
</Properties>
</file>